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40DA2" w14:textId="77777777" w:rsidR="00B70876" w:rsidRDefault="00000000">
      <w:pPr>
        <w:jc w:val="center"/>
        <w:rPr>
          <w:rFonts w:ascii="Garamond" w:eastAsia="Garamond" w:hAnsi="Garamond" w:cs="Garamond"/>
          <w:b/>
          <w:sz w:val="24"/>
          <w:szCs w:val="24"/>
        </w:rPr>
      </w:pPr>
      <w:r>
        <w:rPr>
          <w:rFonts w:ascii="Garamond" w:eastAsia="Garamond" w:hAnsi="Garamond" w:cs="Garamond"/>
          <w:b/>
          <w:noProof/>
          <w:sz w:val="24"/>
          <w:szCs w:val="24"/>
        </w:rPr>
        <w:drawing>
          <wp:inline distT="0" distB="0" distL="0" distR="0" wp14:anchorId="182BFA29" wp14:editId="6A28C1BF">
            <wp:extent cx="283857" cy="304133"/>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6"/>
                    <a:srcRect/>
                    <a:stretch>
                      <a:fillRect/>
                    </a:stretch>
                  </pic:blipFill>
                  <pic:spPr>
                    <a:xfrm>
                      <a:off x="0" y="0"/>
                      <a:ext cx="283857" cy="304133"/>
                    </a:xfrm>
                    <a:prstGeom prst="rect">
                      <a:avLst/>
                    </a:prstGeom>
                    <a:ln/>
                  </pic:spPr>
                </pic:pic>
              </a:graphicData>
            </a:graphic>
          </wp:inline>
        </w:drawing>
      </w:r>
    </w:p>
    <w:p w14:paraId="600BD0B3" w14:textId="77777777" w:rsidR="00B70876" w:rsidRDefault="00000000">
      <w:pPr>
        <w:spacing w:line="189" w:lineRule="auto"/>
        <w:ind w:left="2"/>
        <w:jc w:val="center"/>
        <w:rPr>
          <w:rFonts w:ascii="Garamond" w:eastAsia="Garamond" w:hAnsi="Garamond" w:cs="Garamond"/>
          <w:b/>
          <w:sz w:val="24"/>
          <w:szCs w:val="24"/>
        </w:rPr>
      </w:pPr>
      <w:r>
        <w:rPr>
          <w:rFonts w:ascii="Garamond" w:eastAsia="Garamond" w:hAnsi="Garamond" w:cs="Garamond"/>
          <w:b/>
          <w:sz w:val="24"/>
          <w:szCs w:val="24"/>
        </w:rPr>
        <w:t>ISTITUTO STATALE DI ISTRUZIONE SUPERIORE MAGRINI MARCHETTI</w:t>
      </w:r>
    </w:p>
    <w:p w14:paraId="40523C7E" w14:textId="77777777" w:rsidR="00B70876" w:rsidRDefault="00000000">
      <w:pPr>
        <w:spacing w:line="282" w:lineRule="auto"/>
        <w:ind w:left="1467"/>
        <w:jc w:val="center"/>
        <w:rPr>
          <w:rFonts w:ascii="Garamond" w:eastAsia="Garamond" w:hAnsi="Garamond" w:cs="Garamond"/>
          <w:b/>
          <w:sz w:val="24"/>
          <w:szCs w:val="24"/>
        </w:rPr>
      </w:pPr>
      <w:r>
        <w:rPr>
          <w:rFonts w:ascii="Garamond" w:eastAsia="Garamond" w:hAnsi="Garamond" w:cs="Garamond"/>
          <w:b/>
          <w:sz w:val="24"/>
          <w:szCs w:val="24"/>
        </w:rPr>
        <w:t>Liceo Scientifico Istituto Tecnico settori Economico e Tecnologico</w:t>
      </w:r>
    </w:p>
    <w:p w14:paraId="2DE782F8" w14:textId="77777777" w:rsidR="00B70876" w:rsidRDefault="00000000">
      <w:pPr>
        <w:tabs>
          <w:tab w:val="left" w:pos="5856"/>
          <w:tab w:val="left" w:pos="8512"/>
        </w:tabs>
        <w:spacing w:line="267" w:lineRule="auto"/>
        <w:ind w:left="12"/>
        <w:jc w:val="center"/>
        <w:rPr>
          <w:rFonts w:ascii="Garamond" w:eastAsia="Garamond" w:hAnsi="Garamond" w:cs="Garamond"/>
          <w:b/>
          <w:sz w:val="24"/>
          <w:szCs w:val="24"/>
        </w:rPr>
      </w:pPr>
      <w:r>
        <w:rPr>
          <w:rFonts w:ascii="Garamond" w:eastAsia="Garamond" w:hAnsi="Garamond" w:cs="Garamond"/>
          <w:b/>
          <w:sz w:val="24"/>
          <w:szCs w:val="24"/>
        </w:rPr>
        <w:t>33013 GEMONA DEL FRIULI (</w:t>
      </w:r>
      <w:proofErr w:type="gramStart"/>
      <w:r>
        <w:rPr>
          <w:rFonts w:ascii="Garamond" w:eastAsia="Garamond" w:hAnsi="Garamond" w:cs="Garamond"/>
          <w:b/>
          <w:sz w:val="24"/>
          <w:szCs w:val="24"/>
        </w:rPr>
        <w:t>UD)  via</w:t>
      </w:r>
      <w:proofErr w:type="gramEnd"/>
      <w:r>
        <w:rPr>
          <w:rFonts w:ascii="Garamond" w:eastAsia="Garamond" w:hAnsi="Garamond" w:cs="Garamond"/>
          <w:b/>
          <w:sz w:val="24"/>
          <w:szCs w:val="24"/>
        </w:rPr>
        <w:t xml:space="preserve"> </w:t>
      </w:r>
      <w:proofErr w:type="spellStart"/>
      <w:r>
        <w:rPr>
          <w:rFonts w:ascii="Garamond" w:eastAsia="Garamond" w:hAnsi="Garamond" w:cs="Garamond"/>
          <w:b/>
          <w:sz w:val="24"/>
          <w:szCs w:val="24"/>
        </w:rPr>
        <w:t>Praviolai</w:t>
      </w:r>
      <w:proofErr w:type="spellEnd"/>
      <w:r>
        <w:rPr>
          <w:rFonts w:ascii="Garamond" w:eastAsia="Garamond" w:hAnsi="Garamond" w:cs="Garamond"/>
          <w:b/>
          <w:sz w:val="24"/>
          <w:szCs w:val="24"/>
        </w:rPr>
        <w:t>, 18</w:t>
      </w:r>
      <w:r>
        <w:rPr>
          <w:rFonts w:ascii="Garamond" w:eastAsia="Garamond" w:hAnsi="Garamond" w:cs="Garamond"/>
          <w:b/>
          <w:sz w:val="24"/>
          <w:szCs w:val="24"/>
        </w:rPr>
        <w:tab/>
        <w:t>tel. 0432/981436-981632</w:t>
      </w:r>
      <w:r>
        <w:rPr>
          <w:rFonts w:ascii="Garamond" w:eastAsia="Garamond" w:hAnsi="Garamond" w:cs="Garamond"/>
          <w:b/>
          <w:sz w:val="24"/>
          <w:szCs w:val="24"/>
        </w:rPr>
        <w:tab/>
        <w:t>fax</w:t>
      </w:r>
    </w:p>
    <w:p w14:paraId="25982BBA" w14:textId="77777777" w:rsidR="00B70876" w:rsidRDefault="00000000">
      <w:pPr>
        <w:spacing w:line="270" w:lineRule="auto"/>
        <w:ind w:left="11"/>
        <w:jc w:val="center"/>
        <w:rPr>
          <w:rFonts w:ascii="Garamond" w:eastAsia="Garamond" w:hAnsi="Garamond" w:cs="Garamond"/>
          <w:b/>
          <w:sz w:val="24"/>
          <w:szCs w:val="24"/>
        </w:rPr>
      </w:pPr>
      <w:r>
        <w:rPr>
          <w:rFonts w:ascii="Garamond" w:eastAsia="Garamond" w:hAnsi="Garamond" w:cs="Garamond"/>
          <w:b/>
          <w:sz w:val="24"/>
          <w:szCs w:val="24"/>
        </w:rPr>
        <w:t>0432/970373</w:t>
      </w:r>
    </w:p>
    <w:p w14:paraId="59D24AEC" w14:textId="77777777" w:rsidR="00B70876" w:rsidRDefault="00000000">
      <w:pPr>
        <w:tabs>
          <w:tab w:val="left" w:pos="4032"/>
          <w:tab w:val="left" w:pos="4439"/>
          <w:tab w:val="left" w:pos="6876"/>
        </w:tabs>
        <w:spacing w:before="75" w:line="117" w:lineRule="auto"/>
        <w:ind w:left="849" w:right="835"/>
        <w:jc w:val="center"/>
        <w:rPr>
          <w:rFonts w:ascii="Garamond" w:eastAsia="Garamond" w:hAnsi="Garamond" w:cs="Garamond"/>
          <w:b/>
          <w:sz w:val="24"/>
          <w:szCs w:val="24"/>
        </w:rPr>
      </w:pPr>
      <w:r>
        <w:rPr>
          <w:rFonts w:ascii="Garamond" w:eastAsia="Garamond" w:hAnsi="Garamond" w:cs="Garamond"/>
          <w:b/>
          <w:sz w:val="24"/>
          <w:szCs w:val="24"/>
        </w:rPr>
        <w:t>codice scuola UDIS01800D</w:t>
      </w:r>
      <w:r>
        <w:rPr>
          <w:rFonts w:ascii="Garamond" w:eastAsia="Garamond" w:hAnsi="Garamond" w:cs="Garamond"/>
          <w:b/>
          <w:sz w:val="24"/>
          <w:szCs w:val="24"/>
        </w:rPr>
        <w:tab/>
      </w:r>
      <w:r>
        <w:rPr>
          <w:rFonts w:ascii="Garamond" w:eastAsia="Garamond" w:hAnsi="Garamond" w:cs="Garamond"/>
          <w:b/>
          <w:sz w:val="24"/>
          <w:szCs w:val="24"/>
        </w:rPr>
        <w:tab/>
        <w:t xml:space="preserve">codice fiscale 94134560302 </w:t>
      </w:r>
      <w:hyperlink r:id="rId7">
        <w:r>
          <w:rPr>
            <w:rFonts w:ascii="Garamond" w:eastAsia="Garamond" w:hAnsi="Garamond" w:cs="Garamond"/>
            <w:b/>
            <w:color w:val="0000FF"/>
            <w:sz w:val="24"/>
            <w:szCs w:val="24"/>
            <w:u w:val="single"/>
          </w:rPr>
          <w:t>www.isismagrinimarchetti.i</w:t>
        </w:r>
      </w:hyperlink>
      <w:r>
        <w:rPr>
          <w:rFonts w:ascii="Garamond" w:eastAsia="Garamond" w:hAnsi="Garamond" w:cs="Garamond"/>
          <w:b/>
          <w:color w:val="0000FF"/>
          <w:sz w:val="24"/>
          <w:szCs w:val="24"/>
          <w:u w:val="single"/>
        </w:rPr>
        <w:t>t</w:t>
      </w:r>
      <w:r>
        <w:rPr>
          <w:rFonts w:ascii="Garamond" w:eastAsia="Garamond" w:hAnsi="Garamond" w:cs="Garamond"/>
          <w:b/>
          <w:color w:val="0000FF"/>
          <w:sz w:val="24"/>
          <w:szCs w:val="24"/>
          <w:u w:val="single"/>
        </w:rPr>
        <w:tab/>
      </w:r>
      <w:hyperlink r:id="rId8">
        <w:r>
          <w:rPr>
            <w:rFonts w:ascii="Garamond" w:eastAsia="Garamond" w:hAnsi="Garamond" w:cs="Garamond"/>
            <w:b/>
            <w:color w:val="0000FF"/>
            <w:sz w:val="24"/>
            <w:szCs w:val="24"/>
            <w:u w:val="single"/>
          </w:rPr>
          <w:t>udis01800d@istruzione.i</w:t>
        </w:r>
      </w:hyperlink>
      <w:r>
        <w:rPr>
          <w:rFonts w:ascii="Garamond" w:eastAsia="Garamond" w:hAnsi="Garamond" w:cs="Garamond"/>
          <w:b/>
          <w:color w:val="0000FF"/>
          <w:sz w:val="24"/>
          <w:szCs w:val="24"/>
          <w:u w:val="single"/>
        </w:rPr>
        <w:t>t</w:t>
      </w:r>
      <w:r>
        <w:rPr>
          <w:rFonts w:ascii="Garamond" w:eastAsia="Garamond" w:hAnsi="Garamond" w:cs="Garamond"/>
          <w:b/>
          <w:color w:val="0000FF"/>
          <w:sz w:val="24"/>
          <w:szCs w:val="24"/>
          <w:u w:val="single"/>
        </w:rPr>
        <w:tab/>
      </w:r>
      <w:hyperlink r:id="rId9">
        <w:r>
          <w:rPr>
            <w:rFonts w:ascii="Garamond" w:eastAsia="Garamond" w:hAnsi="Garamond" w:cs="Garamond"/>
            <w:b/>
            <w:color w:val="0000FF"/>
            <w:sz w:val="24"/>
            <w:szCs w:val="24"/>
            <w:u w:val="single"/>
          </w:rPr>
          <w:t>udis01800d@pec.istruzione.it</w:t>
        </w:r>
      </w:hyperlink>
    </w:p>
    <w:p w14:paraId="73911D18" w14:textId="77777777" w:rsidR="00B70876" w:rsidRDefault="00B70876">
      <w:pPr>
        <w:widowControl w:val="0"/>
        <w:pBdr>
          <w:top w:val="nil"/>
          <w:left w:val="nil"/>
          <w:bottom w:val="nil"/>
          <w:right w:val="nil"/>
          <w:between w:val="nil"/>
        </w:pBdr>
        <w:spacing w:after="0" w:line="240" w:lineRule="auto"/>
        <w:jc w:val="center"/>
        <w:rPr>
          <w:rFonts w:ascii="Garamond" w:eastAsia="Garamond" w:hAnsi="Garamond" w:cs="Garamond"/>
          <w:b/>
          <w:color w:val="000000"/>
          <w:sz w:val="24"/>
          <w:szCs w:val="24"/>
        </w:rPr>
      </w:pPr>
    </w:p>
    <w:p w14:paraId="21160800" w14:textId="77777777" w:rsidR="00B70876" w:rsidRDefault="00B70876">
      <w:pPr>
        <w:widowControl w:val="0"/>
        <w:pBdr>
          <w:top w:val="nil"/>
          <w:left w:val="nil"/>
          <w:bottom w:val="nil"/>
          <w:right w:val="nil"/>
          <w:between w:val="nil"/>
        </w:pBdr>
        <w:spacing w:after="0" w:line="240" w:lineRule="auto"/>
        <w:rPr>
          <w:rFonts w:ascii="Garamond" w:eastAsia="Garamond" w:hAnsi="Garamond" w:cs="Garamond"/>
          <w:b/>
          <w:color w:val="000000"/>
          <w:sz w:val="20"/>
          <w:szCs w:val="20"/>
        </w:rPr>
      </w:pPr>
    </w:p>
    <w:p w14:paraId="653D993A" w14:textId="77777777" w:rsidR="00B70876" w:rsidRDefault="00B70876">
      <w:pPr>
        <w:widowControl w:val="0"/>
        <w:pBdr>
          <w:top w:val="nil"/>
          <w:left w:val="nil"/>
          <w:bottom w:val="nil"/>
          <w:right w:val="nil"/>
          <w:between w:val="nil"/>
        </w:pBdr>
        <w:spacing w:after="0" w:line="240" w:lineRule="auto"/>
        <w:rPr>
          <w:rFonts w:ascii="Garamond" w:eastAsia="Garamond" w:hAnsi="Garamond" w:cs="Garamond"/>
          <w:b/>
          <w:color w:val="000000"/>
          <w:sz w:val="20"/>
          <w:szCs w:val="20"/>
        </w:rPr>
      </w:pPr>
    </w:p>
    <w:p w14:paraId="072C2CE0" w14:textId="77777777" w:rsidR="00B70876" w:rsidRDefault="00B70876">
      <w:pPr>
        <w:widowControl w:val="0"/>
        <w:pBdr>
          <w:top w:val="nil"/>
          <w:left w:val="nil"/>
          <w:bottom w:val="nil"/>
          <w:right w:val="nil"/>
          <w:between w:val="nil"/>
        </w:pBdr>
        <w:spacing w:before="11" w:after="0" w:line="240" w:lineRule="auto"/>
        <w:rPr>
          <w:rFonts w:ascii="Garamond" w:eastAsia="Garamond" w:hAnsi="Garamond" w:cs="Garamond"/>
          <w:b/>
          <w:color w:val="000000"/>
          <w:sz w:val="16"/>
          <w:szCs w:val="16"/>
        </w:rPr>
      </w:pPr>
    </w:p>
    <w:p w14:paraId="44C248F1" w14:textId="77777777" w:rsidR="00B70876" w:rsidRDefault="00000000">
      <w:pPr>
        <w:spacing w:line="651" w:lineRule="auto"/>
        <w:ind w:left="138"/>
        <w:jc w:val="center"/>
        <w:rPr>
          <w:rFonts w:ascii="Garamond" w:eastAsia="Garamond" w:hAnsi="Garamond" w:cs="Garamond"/>
          <w:sz w:val="40"/>
          <w:szCs w:val="40"/>
        </w:rPr>
      </w:pPr>
      <w:r>
        <w:rPr>
          <w:rFonts w:ascii="Garamond" w:eastAsia="Garamond" w:hAnsi="Garamond" w:cs="Garamond"/>
          <w:sz w:val="40"/>
          <w:szCs w:val="40"/>
        </w:rPr>
        <w:t>D I P A R T I M E N T O</w:t>
      </w:r>
    </w:p>
    <w:p w14:paraId="6C752EE6" w14:textId="77777777" w:rsidR="00B70876" w:rsidRDefault="00000000">
      <w:pPr>
        <w:spacing w:line="911" w:lineRule="auto"/>
        <w:ind w:left="203"/>
        <w:jc w:val="center"/>
        <w:rPr>
          <w:rFonts w:ascii="Garamond" w:eastAsia="Garamond" w:hAnsi="Garamond" w:cs="Garamond"/>
          <w:sz w:val="40"/>
          <w:szCs w:val="40"/>
        </w:rPr>
      </w:pPr>
      <w:r>
        <w:rPr>
          <w:rFonts w:ascii="Garamond" w:eastAsia="Garamond" w:hAnsi="Garamond" w:cs="Garamond"/>
          <w:sz w:val="40"/>
          <w:szCs w:val="40"/>
        </w:rPr>
        <w:t>GIURIDICO ECONOMICO</w:t>
      </w:r>
    </w:p>
    <w:p w14:paraId="6695163A" w14:textId="77777777" w:rsidR="00B70876" w:rsidRDefault="00B70876">
      <w:pPr>
        <w:widowControl w:val="0"/>
        <w:pBdr>
          <w:top w:val="nil"/>
          <w:left w:val="nil"/>
          <w:bottom w:val="nil"/>
          <w:right w:val="nil"/>
          <w:between w:val="nil"/>
        </w:pBdr>
        <w:spacing w:after="0" w:line="240" w:lineRule="auto"/>
        <w:rPr>
          <w:rFonts w:ascii="Garamond" w:eastAsia="Garamond" w:hAnsi="Garamond" w:cs="Garamond"/>
          <w:color w:val="000000"/>
          <w:sz w:val="44"/>
          <w:szCs w:val="44"/>
        </w:rPr>
      </w:pPr>
    </w:p>
    <w:p w14:paraId="0082A5D6" w14:textId="77777777" w:rsidR="00B70876" w:rsidRDefault="00B70876">
      <w:pPr>
        <w:widowControl w:val="0"/>
        <w:pBdr>
          <w:top w:val="nil"/>
          <w:left w:val="nil"/>
          <w:bottom w:val="nil"/>
          <w:right w:val="nil"/>
          <w:between w:val="nil"/>
        </w:pBdr>
        <w:spacing w:before="4" w:after="0" w:line="240" w:lineRule="auto"/>
        <w:rPr>
          <w:rFonts w:ascii="Garamond" w:eastAsia="Garamond" w:hAnsi="Garamond" w:cs="Garamond"/>
          <w:color w:val="000000"/>
          <w:sz w:val="33"/>
          <w:szCs w:val="33"/>
        </w:rPr>
      </w:pPr>
    </w:p>
    <w:p w14:paraId="2F20B266" w14:textId="24688ECB" w:rsidR="00B70876" w:rsidRDefault="00000000">
      <w:pPr>
        <w:ind w:left="140"/>
        <w:jc w:val="center"/>
        <w:rPr>
          <w:rFonts w:ascii="Garamond" w:eastAsia="Garamond" w:hAnsi="Garamond" w:cs="Garamond"/>
          <w:sz w:val="40"/>
          <w:szCs w:val="40"/>
        </w:rPr>
      </w:pPr>
      <w:r>
        <w:rPr>
          <w:rFonts w:ascii="Garamond" w:eastAsia="Garamond" w:hAnsi="Garamond" w:cs="Garamond"/>
          <w:sz w:val="40"/>
          <w:szCs w:val="40"/>
        </w:rPr>
        <w:t xml:space="preserve">C U R </w:t>
      </w:r>
      <w:proofErr w:type="spellStart"/>
      <w:r>
        <w:rPr>
          <w:rFonts w:ascii="Garamond" w:eastAsia="Garamond" w:hAnsi="Garamond" w:cs="Garamond"/>
          <w:sz w:val="40"/>
          <w:szCs w:val="40"/>
        </w:rPr>
        <w:t>R</w:t>
      </w:r>
      <w:proofErr w:type="spellEnd"/>
      <w:r>
        <w:rPr>
          <w:rFonts w:ascii="Garamond" w:eastAsia="Garamond" w:hAnsi="Garamond" w:cs="Garamond"/>
          <w:sz w:val="40"/>
          <w:szCs w:val="40"/>
        </w:rPr>
        <w:t xml:space="preserve"> I C O L </w:t>
      </w:r>
      <w:proofErr w:type="gramStart"/>
      <w:r>
        <w:rPr>
          <w:rFonts w:ascii="Garamond" w:eastAsia="Garamond" w:hAnsi="Garamond" w:cs="Garamond"/>
          <w:sz w:val="40"/>
          <w:szCs w:val="40"/>
        </w:rPr>
        <w:t xml:space="preserve">O </w:t>
      </w:r>
      <w:r w:rsidR="001D6539">
        <w:rPr>
          <w:rFonts w:ascii="Garamond" w:eastAsia="Garamond" w:hAnsi="Garamond" w:cs="Garamond"/>
          <w:sz w:val="40"/>
          <w:szCs w:val="40"/>
        </w:rPr>
        <w:t xml:space="preserve"> </w:t>
      </w:r>
      <w:r>
        <w:rPr>
          <w:rFonts w:ascii="Garamond" w:eastAsia="Garamond" w:hAnsi="Garamond" w:cs="Garamond"/>
          <w:sz w:val="40"/>
          <w:szCs w:val="40"/>
        </w:rPr>
        <w:t>Q</w:t>
      </w:r>
      <w:proofErr w:type="gramEnd"/>
      <w:r>
        <w:rPr>
          <w:rFonts w:ascii="Garamond" w:eastAsia="Garamond" w:hAnsi="Garamond" w:cs="Garamond"/>
          <w:sz w:val="40"/>
          <w:szCs w:val="40"/>
        </w:rPr>
        <w:t xml:space="preserve"> U I N T O</w:t>
      </w:r>
      <w:r w:rsidR="001D6539">
        <w:rPr>
          <w:rFonts w:ascii="Garamond" w:eastAsia="Garamond" w:hAnsi="Garamond" w:cs="Garamond"/>
          <w:sz w:val="40"/>
          <w:szCs w:val="40"/>
        </w:rPr>
        <w:t xml:space="preserve"> </w:t>
      </w:r>
      <w:r>
        <w:rPr>
          <w:rFonts w:ascii="Garamond" w:eastAsia="Garamond" w:hAnsi="Garamond" w:cs="Garamond"/>
          <w:sz w:val="40"/>
          <w:szCs w:val="40"/>
        </w:rPr>
        <w:t xml:space="preserve"> A N </w:t>
      </w:r>
      <w:proofErr w:type="spellStart"/>
      <w:r>
        <w:rPr>
          <w:rFonts w:ascii="Garamond" w:eastAsia="Garamond" w:hAnsi="Garamond" w:cs="Garamond"/>
          <w:sz w:val="40"/>
          <w:szCs w:val="40"/>
        </w:rPr>
        <w:t>N</w:t>
      </w:r>
      <w:proofErr w:type="spellEnd"/>
      <w:r>
        <w:rPr>
          <w:rFonts w:ascii="Garamond" w:eastAsia="Garamond" w:hAnsi="Garamond" w:cs="Garamond"/>
          <w:sz w:val="40"/>
          <w:szCs w:val="40"/>
        </w:rPr>
        <w:t xml:space="preserve"> O</w:t>
      </w:r>
    </w:p>
    <w:p w14:paraId="1468BA9E" w14:textId="77777777" w:rsidR="00B70876" w:rsidRDefault="00B70876">
      <w:pPr>
        <w:widowControl w:val="0"/>
        <w:pBdr>
          <w:top w:val="nil"/>
          <w:left w:val="nil"/>
          <w:bottom w:val="nil"/>
          <w:right w:val="nil"/>
          <w:between w:val="nil"/>
        </w:pBdr>
        <w:spacing w:after="0" w:line="240" w:lineRule="auto"/>
        <w:rPr>
          <w:rFonts w:ascii="Garamond" w:eastAsia="Garamond" w:hAnsi="Garamond" w:cs="Garamond"/>
          <w:color w:val="000000"/>
          <w:sz w:val="44"/>
          <w:szCs w:val="44"/>
        </w:rPr>
      </w:pPr>
    </w:p>
    <w:p w14:paraId="10CBE9EC" w14:textId="77777777" w:rsidR="00B70876" w:rsidRDefault="00B70876">
      <w:pPr>
        <w:widowControl w:val="0"/>
        <w:pBdr>
          <w:top w:val="nil"/>
          <w:left w:val="nil"/>
          <w:bottom w:val="nil"/>
          <w:right w:val="nil"/>
          <w:between w:val="nil"/>
        </w:pBdr>
        <w:spacing w:before="16" w:after="0" w:line="240" w:lineRule="auto"/>
        <w:rPr>
          <w:rFonts w:ascii="Garamond" w:eastAsia="Garamond" w:hAnsi="Garamond" w:cs="Garamond"/>
          <w:color w:val="000000"/>
          <w:sz w:val="52"/>
          <w:szCs w:val="52"/>
        </w:rPr>
      </w:pPr>
    </w:p>
    <w:p w14:paraId="79D9CC80" w14:textId="77777777" w:rsidR="00B70876" w:rsidRDefault="00000000">
      <w:pPr>
        <w:spacing w:line="705" w:lineRule="auto"/>
        <w:ind w:left="114"/>
        <w:rPr>
          <w:rFonts w:ascii="Garamond" w:eastAsia="Garamond" w:hAnsi="Garamond" w:cs="Garamond"/>
          <w:b/>
          <w:sz w:val="40"/>
          <w:szCs w:val="40"/>
        </w:rPr>
      </w:pPr>
      <w:r>
        <w:rPr>
          <w:b/>
        </w:rPr>
        <w:t xml:space="preserve">DIRITTO ED ECONOMIA DELLO SPORT </w:t>
      </w:r>
    </w:p>
    <w:p w14:paraId="338730D1" w14:textId="77777777" w:rsidR="00B70876" w:rsidRDefault="00000000">
      <w:pPr>
        <w:spacing w:line="400" w:lineRule="auto"/>
        <w:ind w:left="114"/>
        <w:rPr>
          <w:rFonts w:ascii="Garamond" w:eastAsia="Garamond" w:hAnsi="Garamond" w:cs="Garamond"/>
          <w:sz w:val="36"/>
          <w:szCs w:val="36"/>
        </w:rPr>
      </w:pPr>
      <w:r>
        <w:rPr>
          <w:rFonts w:ascii="Garamond" w:eastAsia="Garamond" w:hAnsi="Garamond" w:cs="Garamond"/>
          <w:sz w:val="36"/>
          <w:szCs w:val="36"/>
        </w:rPr>
        <w:t>Settore liceo:</w:t>
      </w:r>
    </w:p>
    <w:p w14:paraId="646889C8" w14:textId="77777777" w:rsidR="00B70876" w:rsidRDefault="00000000">
      <w:pPr>
        <w:widowControl w:val="0"/>
        <w:numPr>
          <w:ilvl w:val="0"/>
          <w:numId w:val="4"/>
        </w:numPr>
        <w:pBdr>
          <w:top w:val="nil"/>
          <w:left w:val="nil"/>
          <w:bottom w:val="nil"/>
          <w:right w:val="nil"/>
          <w:between w:val="nil"/>
        </w:pBdr>
        <w:tabs>
          <w:tab w:val="left" w:pos="834"/>
          <w:tab w:val="left" w:pos="835"/>
        </w:tabs>
        <w:spacing w:after="0" w:line="404" w:lineRule="auto"/>
        <w:ind w:hanging="361"/>
        <w:rPr>
          <w:rFonts w:ascii="Garamond" w:eastAsia="Garamond" w:hAnsi="Garamond" w:cs="Garamond"/>
          <w:color w:val="000000"/>
          <w:sz w:val="36"/>
          <w:szCs w:val="36"/>
        </w:rPr>
      </w:pPr>
      <w:r>
        <w:rPr>
          <w:rFonts w:ascii="Garamond" w:eastAsia="Garamond" w:hAnsi="Garamond" w:cs="Garamond"/>
          <w:color w:val="000000"/>
          <w:sz w:val="36"/>
          <w:szCs w:val="36"/>
        </w:rPr>
        <w:t>indirizzo LICEO SCIENTIFICO</w:t>
      </w:r>
    </w:p>
    <w:p w14:paraId="197A9EEA" w14:textId="77777777" w:rsidR="00B70876" w:rsidRDefault="00000000">
      <w:pPr>
        <w:widowControl w:val="0"/>
        <w:numPr>
          <w:ilvl w:val="0"/>
          <w:numId w:val="4"/>
        </w:numPr>
        <w:pBdr>
          <w:top w:val="nil"/>
          <w:left w:val="nil"/>
          <w:bottom w:val="nil"/>
          <w:right w:val="nil"/>
          <w:between w:val="nil"/>
        </w:pBdr>
        <w:tabs>
          <w:tab w:val="left" w:pos="834"/>
          <w:tab w:val="left" w:pos="835"/>
        </w:tabs>
        <w:spacing w:after="0" w:line="618" w:lineRule="auto"/>
        <w:ind w:hanging="361"/>
        <w:rPr>
          <w:rFonts w:ascii="Garamond" w:eastAsia="Garamond" w:hAnsi="Garamond" w:cs="Garamond"/>
          <w:color w:val="000000"/>
          <w:sz w:val="36"/>
          <w:szCs w:val="36"/>
        </w:rPr>
        <w:sectPr w:rsidR="00B70876">
          <w:pgSz w:w="11900" w:h="16850"/>
          <w:pgMar w:top="980" w:right="660" w:bottom="280" w:left="560" w:header="720" w:footer="720" w:gutter="0"/>
          <w:pgNumType w:start="1"/>
          <w:cols w:space="720"/>
        </w:sectPr>
      </w:pPr>
      <w:proofErr w:type="gramStart"/>
      <w:r>
        <w:rPr>
          <w:rFonts w:ascii="Garamond" w:eastAsia="Garamond" w:hAnsi="Garamond" w:cs="Garamond"/>
          <w:color w:val="000000"/>
          <w:sz w:val="36"/>
          <w:szCs w:val="36"/>
        </w:rPr>
        <w:t>articolazione  LICEO</w:t>
      </w:r>
      <w:proofErr w:type="gramEnd"/>
      <w:r>
        <w:rPr>
          <w:rFonts w:ascii="Garamond" w:eastAsia="Garamond" w:hAnsi="Garamond" w:cs="Garamond"/>
          <w:color w:val="000000"/>
          <w:sz w:val="36"/>
          <w:szCs w:val="36"/>
        </w:rPr>
        <w:t xml:space="preserve"> SCIENTIFICO SPORTIVO</w:t>
      </w:r>
    </w:p>
    <w:p w14:paraId="102F4802" w14:textId="77777777" w:rsidR="00B70876" w:rsidRDefault="00000000">
      <w:pPr>
        <w:rPr>
          <w:rFonts w:ascii="Garamond" w:eastAsia="Garamond" w:hAnsi="Garamond" w:cs="Garamond"/>
          <w:b/>
        </w:rPr>
      </w:pPr>
      <w:r>
        <w:rPr>
          <w:rFonts w:ascii="Garamond" w:eastAsia="Garamond" w:hAnsi="Garamond" w:cs="Garamond"/>
          <w:b/>
        </w:rPr>
        <w:lastRenderedPageBreak/>
        <w:t xml:space="preserve">PREMESSA: </w:t>
      </w:r>
      <w:r>
        <w:rPr>
          <w:b/>
        </w:rPr>
        <w:t xml:space="preserve">DIRITTO ED ECONOMIA DELLO SPORT LINEE GENERALI E COMPETENZE </w:t>
      </w:r>
      <w:r>
        <w:rPr>
          <w:rFonts w:ascii="Garamond" w:eastAsia="Garamond" w:hAnsi="Garamond" w:cs="Garamond"/>
          <w:b/>
        </w:rPr>
        <w:t xml:space="preserve"> </w:t>
      </w:r>
    </w:p>
    <w:p w14:paraId="00EA35C5" w14:textId="77777777" w:rsidR="00B70876" w:rsidRDefault="00000000">
      <w:r>
        <w:t xml:space="preserve">Diritto </w:t>
      </w:r>
    </w:p>
    <w:p w14:paraId="341D6D28" w14:textId="77777777" w:rsidR="00B70876" w:rsidRDefault="00000000">
      <w:pPr>
        <w:jc w:val="both"/>
      </w:pPr>
      <w:r>
        <w:t>Al termine del percorso liceale lo studente è in grado di: 1) utilizzare e comprendere il linguaggio giuridico in diversi contesti e di identificare l’ineliminabile funzione sociale della norma giuridica valutando la necessità di accettare i limiti che da essa derivano alla libertà individuale; 2) individuare la relatività in senso temporale e spaziale del fenomeno giuridico e la sua dipendenza dal contesto socio-culturale in cui si sviluppa; 3) interpretare il fenomeno sportivo sotto il profili dei soggetti, delle correlative responsabilità e degli organi deputati ad accertarle alla luce delle fonti normative più significative dimostrando di saper confrontare soluzioni giuridiche con situazioni reali. Lo studente ha inoltre una conoscenza approfondita delle Costituzione Italiana, dei valori ad essa sottesi, dei beni-interessi da essa tutelati e dei principi ispiratori dell’assetto istituzionale e della forma di governo ed è in grado di confrontare l’ordinamento giuridico statale e quello sportivo. Ha una conoscenza sicura del processo di integrazione europea e degli organi istituzionali dell’Unione Europea.</w:t>
      </w:r>
    </w:p>
    <w:p w14:paraId="67F15FE9" w14:textId="77777777" w:rsidR="00B70876" w:rsidRDefault="00000000">
      <w:r>
        <w:t>Economia</w:t>
      </w:r>
    </w:p>
    <w:p w14:paraId="31F964D2" w14:textId="77777777" w:rsidR="00B70876" w:rsidRDefault="00000000">
      <w:pPr>
        <w:jc w:val="both"/>
      </w:pPr>
      <w:r>
        <w:t xml:space="preserve"> Al termine del percorso liceale lo studente conosce le essenziali categorie concettuali dell’economia ed è in grado di comprendere il linguaggio economico e l’importanza dell’economia come scienza in grado di influire profondamente sullo sviluppo e sulla qualità della vita a livello globale. Egli è in grado di confrontare modelli economici con situazioni reali e di riconoscere e distinguere il ruolo e le relazioni tra i diversi operatori economici pubblici e privati anche a livello internazionale. Lo studente è inoltre in grado di interpretare le dinamiche economiche del mondo sportivo, di riconoscere le implicazioni economico-aziendali e gestionali connesse al fenomeno sport e di analizzare le metodologie e le strategie di marketing e comunicazione applicate allo sport.</w:t>
      </w:r>
    </w:p>
    <w:p w14:paraId="479D8F20" w14:textId="77777777" w:rsidR="00B70876" w:rsidRDefault="00B70876">
      <w:pPr>
        <w:jc w:val="both"/>
      </w:pPr>
    </w:p>
    <w:p w14:paraId="0288995E" w14:textId="77777777" w:rsidR="00B70876" w:rsidRDefault="00000000">
      <w:pPr>
        <w:jc w:val="both"/>
        <w:rPr>
          <w:b/>
        </w:rPr>
      </w:pPr>
      <w:r>
        <w:rPr>
          <w:b/>
        </w:rPr>
        <w:t xml:space="preserve">QUINTO ANNO </w:t>
      </w:r>
    </w:p>
    <w:p w14:paraId="4D705D5A" w14:textId="77777777" w:rsidR="00B70876" w:rsidRDefault="00000000">
      <w:pPr>
        <w:jc w:val="both"/>
        <w:rPr>
          <w:b/>
        </w:rPr>
      </w:pPr>
      <w:r>
        <w:rPr>
          <w:b/>
        </w:rPr>
        <w:t>DIRITTO</w:t>
      </w:r>
    </w:p>
    <w:p w14:paraId="6ABA13FF" w14:textId="77777777" w:rsidR="00B70876" w:rsidRDefault="00000000">
      <w:pPr>
        <w:jc w:val="both"/>
      </w:pPr>
      <w:r>
        <w:t>Nel quinto anno lo studente analizza i principi della teoria dello stato sapendo riconoscere che essa nel suo evolversi ha sempre interpretato la condizione umana del tempo modellando le istituzioni e la società e riconosce i principi fondamentali alla base dello stato democratico, sociale e di diritto; approfondisce il ruolo dello sport nelle varie forme di stato con particolare riferimento a quello ad esso attribuito negli stati totalitari; analizza i poteri e le relazioni interistituzionali nell’ambito della forma di governo italiana e conosce a fondo gli organi costituzionali e le relazioni tra gli stessi; esamina i principi fondamentali della responsabilità nell’ambito dello sport dal punto di vista civile e penale e anche sotto il profilo processuale; riconosce e distingue le relazioni intercorrenti tra giustizia sportiva ed ordinaria; interpreta il ruolo della P.A. ed affronta i temi della sussidiarietà, del decentramento, del regionalismo e della globalizzazione; analizza il contesto delle istituzioni internazionali con particolare attenzione al processo d’integrazione europea; analizza gli organismi internazionali e la loro struttura in materia di governo dello sport; al termine del quinto anno l’allevo riconosce l’importanza del diritto sportivo quale settore di osservazione privilegiato per l’analisi delle strategie della globalizzazione e competizione, le quali costituiscono il fattore caratteristico del contesto internazionale e dell’evoluzione in atto sul piano squisitamente giuridico.</w:t>
      </w:r>
    </w:p>
    <w:p w14:paraId="7F9E075B" w14:textId="77777777" w:rsidR="00B70876" w:rsidRDefault="00000000">
      <w:pPr>
        <w:jc w:val="both"/>
        <w:rPr>
          <w:b/>
        </w:rPr>
      </w:pPr>
      <w:r>
        <w:rPr>
          <w:b/>
        </w:rPr>
        <w:t>ECONOMIA</w:t>
      </w:r>
    </w:p>
    <w:p w14:paraId="6C8D3993" w14:textId="77777777" w:rsidR="00B70876" w:rsidRDefault="00000000">
      <w:pPr>
        <w:jc w:val="both"/>
      </w:pPr>
      <w:r>
        <w:t>Nel quinto anno l’allievo approfondisce la nozione di azienda ed impresa sotto il profilo economico-aziendale; apprende il marketing dello sport; acquisisce la consapevolezza che alla dimensione agonistica si accompagna quella commerciale e professionale caratterizzata da una serie di specifiche attività profit-</w:t>
      </w:r>
      <w:proofErr w:type="spellStart"/>
      <w:r>
        <w:t>oriented</w:t>
      </w:r>
      <w:proofErr w:type="spellEnd"/>
      <w:r>
        <w:t xml:space="preserve"> e da emergenti fi gure professionali capaci di gestire esigenze e peculiarità; acquisisce le competenze gestionali base legate al mondo dello sport business; analizza le esperienze del settore sportivo «allargato» con particolare riguardo alle organizzazioni che si trovano ad operare all’interno della cosiddetta «convergenza sportiva» quali i produttori di abbigliamento e attrezzature sportive, i vari media più o meno nuovi, le imprese in cerca di comunicazione innovativa tramite sponsorizzazioni o altre forme di </w:t>
      </w:r>
      <w:proofErr w:type="spellStart"/>
      <w:r>
        <w:t>comarketing</w:t>
      </w:r>
      <w:proofErr w:type="spellEnd"/>
      <w:r>
        <w:t xml:space="preserve"> con lo sport e le stesse organizzazioni pubbliche che tramite lo sport cercano di attivare un marketing territoriale di visibilità e accreditamento.</w:t>
      </w:r>
    </w:p>
    <w:p w14:paraId="00E69EA3" w14:textId="77777777" w:rsidR="00B70876" w:rsidRDefault="00B70876">
      <w:pPr>
        <w:jc w:val="both"/>
      </w:pPr>
    </w:p>
    <w:p w14:paraId="2A608BCA" w14:textId="77777777" w:rsidR="00B70876" w:rsidRDefault="00B70876">
      <w:pPr>
        <w:jc w:val="both"/>
      </w:pPr>
    </w:p>
    <w:p w14:paraId="54DF7D2E" w14:textId="77777777" w:rsidR="00B70876" w:rsidRDefault="00B70876">
      <w:pPr>
        <w:jc w:val="both"/>
      </w:pPr>
    </w:p>
    <w:p w14:paraId="1CD226EA" w14:textId="77777777" w:rsidR="00B70876" w:rsidRDefault="00B70876">
      <w:pPr>
        <w:jc w:val="both"/>
      </w:pPr>
    </w:p>
    <w:p w14:paraId="452BAF08" w14:textId="77777777" w:rsidR="00B70876" w:rsidRDefault="00B70876">
      <w:pPr>
        <w:jc w:val="both"/>
      </w:pPr>
    </w:p>
    <w:p w14:paraId="37E69F72" w14:textId="77777777" w:rsidR="00B70876" w:rsidRDefault="00B70876">
      <w:pPr>
        <w:jc w:val="both"/>
      </w:pPr>
    </w:p>
    <w:p w14:paraId="257FB494" w14:textId="77777777" w:rsidR="00B70876" w:rsidRDefault="00B70876">
      <w:pPr>
        <w:jc w:val="both"/>
      </w:pPr>
    </w:p>
    <w:p w14:paraId="2F3F5547" w14:textId="77777777" w:rsidR="00B70876" w:rsidRDefault="00B70876">
      <w:pPr>
        <w:jc w:val="both"/>
      </w:pPr>
    </w:p>
    <w:p w14:paraId="2BB75185" w14:textId="77777777" w:rsidR="00B70876" w:rsidRDefault="00B70876">
      <w:pPr>
        <w:jc w:val="both"/>
      </w:pPr>
    </w:p>
    <w:p w14:paraId="32BF3528" w14:textId="77777777" w:rsidR="00B70876" w:rsidRDefault="00B70876">
      <w:pPr>
        <w:jc w:val="both"/>
      </w:pPr>
    </w:p>
    <w:p w14:paraId="6C671133" w14:textId="77777777" w:rsidR="00B70876" w:rsidRDefault="00B70876">
      <w:pPr>
        <w:jc w:val="both"/>
      </w:pPr>
    </w:p>
    <w:p w14:paraId="490BD148" w14:textId="77777777" w:rsidR="00B70876" w:rsidRDefault="00B70876">
      <w:pPr>
        <w:jc w:val="both"/>
      </w:pPr>
    </w:p>
    <w:p w14:paraId="65688574" w14:textId="77777777" w:rsidR="00B70876" w:rsidRDefault="00B70876">
      <w:pPr>
        <w:jc w:val="both"/>
      </w:pPr>
    </w:p>
    <w:p w14:paraId="75D4AC39" w14:textId="77777777" w:rsidR="00B70876" w:rsidRDefault="00B70876">
      <w:pPr>
        <w:jc w:val="both"/>
      </w:pPr>
    </w:p>
    <w:p w14:paraId="7ADFF4EC" w14:textId="77777777" w:rsidR="00B70876" w:rsidRDefault="00B70876">
      <w:pPr>
        <w:jc w:val="both"/>
      </w:pPr>
    </w:p>
    <w:tbl>
      <w:tblPr>
        <w:tblStyle w:val="a"/>
        <w:tblW w:w="13326" w:type="dxa"/>
        <w:tblInd w:w="0" w:type="dxa"/>
        <w:tblBorders>
          <w:insideH w:val="single" w:sz="4" w:space="0" w:color="000000"/>
        </w:tblBorders>
        <w:tblLayout w:type="fixed"/>
        <w:tblLook w:val="0000" w:firstRow="0" w:lastRow="0" w:firstColumn="0" w:lastColumn="0" w:noHBand="0" w:noVBand="0"/>
      </w:tblPr>
      <w:tblGrid>
        <w:gridCol w:w="3333"/>
        <w:gridCol w:w="3332"/>
        <w:gridCol w:w="3329"/>
        <w:gridCol w:w="3332"/>
      </w:tblGrid>
      <w:tr w:rsidR="00B70876" w14:paraId="07AA9901" w14:textId="77777777">
        <w:tc>
          <w:tcPr>
            <w:tcW w:w="13326" w:type="dxa"/>
            <w:gridSpan w:val="4"/>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7CC4096D"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rPr>
              <w:t>TAVOLA DI PROGRAMMAZIONE per il Quinto anno</w:t>
            </w:r>
          </w:p>
        </w:tc>
      </w:tr>
      <w:tr w:rsidR="00B70876" w14:paraId="415F4246" w14:textId="77777777">
        <w:tc>
          <w:tcPr>
            <w:tcW w:w="3333"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36BC7F53" w14:textId="77777777" w:rsidR="00B70876" w:rsidRDefault="00B70876">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24"/>
                <w:szCs w:val="24"/>
              </w:rPr>
            </w:pPr>
          </w:p>
        </w:tc>
        <w:tc>
          <w:tcPr>
            <w:tcW w:w="3332"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786D6353"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Competenze</w:t>
            </w:r>
          </w:p>
        </w:tc>
        <w:tc>
          <w:tcPr>
            <w:tcW w:w="3329"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17884EA2"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Abilità </w:t>
            </w:r>
          </w:p>
        </w:tc>
        <w:tc>
          <w:tcPr>
            <w:tcW w:w="3332"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633D4A7B"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Conoscenze</w:t>
            </w:r>
          </w:p>
        </w:tc>
      </w:tr>
      <w:tr w:rsidR="00B70876" w14:paraId="32CCA4E5" w14:textId="77777777">
        <w:tc>
          <w:tcPr>
            <w:tcW w:w="3333"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7E7E5F5A"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Modulo 1 – Lo Stato </w:t>
            </w:r>
            <w:r>
              <w:rPr>
                <w:rFonts w:ascii="Times New Roman" w:eastAsia="Times New Roman" w:hAnsi="Times New Roman" w:cs="Times New Roman"/>
                <w:b/>
                <w:color w:val="000000"/>
                <w:sz w:val="18"/>
                <w:szCs w:val="18"/>
              </w:rPr>
              <w:br/>
              <w:t>e la Costituzione</w:t>
            </w:r>
          </w:p>
          <w:p w14:paraId="511CFD6D" w14:textId="77777777" w:rsidR="00B70876" w:rsidRDefault="00B70876">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603310A4"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CONTENUTI: </w:t>
            </w:r>
          </w:p>
          <w:p w14:paraId="22125FD0"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Lo Stato e i suoi elementi costitutivi</w:t>
            </w:r>
          </w:p>
          <w:p w14:paraId="35F2682F"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Le forme di Stato</w:t>
            </w:r>
          </w:p>
          <w:p w14:paraId="2F93A0B4"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Le forme di governo</w:t>
            </w:r>
          </w:p>
          <w:p w14:paraId="4D88D3C2" w14:textId="0D3FF6EB" w:rsidR="00B70876" w:rsidRDefault="00000000">
            <w:pPr>
              <w:widowControl w:val="0"/>
              <w:numPr>
                <w:ilvl w:val="0"/>
                <w:numId w:val="1"/>
              </w:numPr>
              <w:pBdr>
                <w:top w:val="nil"/>
                <w:left w:val="nil"/>
                <w:bottom w:val="nil"/>
                <w:right w:val="nil"/>
                <w:between w:val="nil"/>
              </w:pBdr>
              <w:spacing w:after="80" w:line="288" w:lineRule="auto"/>
              <w:ind w:left="141"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1D6539">
              <w:rPr>
                <w:rFonts w:ascii="Times New Roman" w:eastAsia="Times New Roman" w:hAnsi="Times New Roman" w:cs="Times New Roman"/>
                <w:sz w:val="18"/>
                <w:szCs w:val="18"/>
              </w:rPr>
              <w:t>lo sport negli Stati totalitari</w:t>
            </w:r>
          </w:p>
        </w:tc>
        <w:tc>
          <w:tcPr>
            <w:tcW w:w="3332"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1530A66D"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Confrontare criticamente le diverse realtà storiche e sociali in cui hanno trovato, e tutt’ora trovano, applicazione le diverse forme di Stato e di governo</w:t>
            </w:r>
          </w:p>
          <w:p w14:paraId="066D5B20"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Riconoscere come valori di grandissima importanza il carattere democratico e quello compromissorio della nostra Costituzione</w:t>
            </w:r>
          </w:p>
        </w:tc>
        <w:tc>
          <w:tcPr>
            <w:tcW w:w="3329"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2C4D7E98"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Distinguere il concetto di “forma di Stato” da quello di “forma di governo”</w:t>
            </w:r>
          </w:p>
          <w:p w14:paraId="33FE47E3"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gli aspetti positivi e negativi delle diverse forme di Stato e di governo</w:t>
            </w:r>
          </w:p>
          <w:p w14:paraId="3D18B1EC"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Riflettere sul fatto che la cittadinanza rappresenta oggi un concetto più ampio rispetto a quello relativo ai soli elementi nazionali</w:t>
            </w:r>
          </w:p>
          <w:p w14:paraId="776E7822"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il valore economico e sociale della Costituzione, inquadrandolo nel quadro storico della sua emanazione</w:t>
            </w:r>
          </w:p>
        </w:tc>
        <w:tc>
          <w:tcPr>
            <w:tcW w:w="3332"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6403A28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Gli elementi costitutivi di uno Stato, </w:t>
            </w:r>
            <w:r>
              <w:rPr>
                <w:rFonts w:ascii="Times New Roman" w:eastAsia="Times New Roman" w:hAnsi="Times New Roman" w:cs="Times New Roman"/>
                <w:color w:val="000000"/>
                <w:sz w:val="18"/>
                <w:szCs w:val="18"/>
              </w:rPr>
              <w:br/>
              <w:t>con particolare riferimento al popolo</w:t>
            </w:r>
          </w:p>
          <w:p w14:paraId="7A7F8170"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L’evoluzione storica e giuridica dello Stato</w:t>
            </w:r>
          </w:p>
          <w:p w14:paraId="0895A8D1"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principali forme di governo attualmente applicate in Europa</w:t>
            </w:r>
          </w:p>
          <w:p w14:paraId="707A089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origini storiche della Costituzione italiana</w:t>
            </w:r>
          </w:p>
          <w:p w14:paraId="14A9025F"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caratteri della Costituzione</w:t>
            </w:r>
          </w:p>
        </w:tc>
      </w:tr>
      <w:tr w:rsidR="00B70876" w14:paraId="471D01C1" w14:textId="77777777">
        <w:tc>
          <w:tcPr>
            <w:tcW w:w="3333" w:type="dxa"/>
            <w:tcBorders>
              <w:top w:val="single" w:sz="6" w:space="0" w:color="000000"/>
              <w:left w:val="single" w:sz="4" w:space="0" w:color="000000"/>
              <w:bottom w:val="single" w:sz="4" w:space="0" w:color="000000"/>
              <w:right w:val="single" w:sz="6" w:space="0" w:color="000000"/>
            </w:tcBorders>
            <w:shd w:val="clear" w:color="auto" w:fill="auto"/>
            <w:tcMar>
              <w:top w:w="113" w:type="dxa"/>
              <w:left w:w="113" w:type="dxa"/>
              <w:bottom w:w="113" w:type="dxa"/>
              <w:right w:w="113" w:type="dxa"/>
            </w:tcMar>
          </w:tcPr>
          <w:p w14:paraId="6FDEA960"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2 – L’ordinamento dello Stato</w:t>
            </w:r>
          </w:p>
          <w:p w14:paraId="4C14ACF4" w14:textId="77777777" w:rsidR="00B70876" w:rsidRDefault="00B70876">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503BE7D4"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25398C08"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Parlamento</w:t>
            </w:r>
          </w:p>
          <w:p w14:paraId="2BBDC47B"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Il Governo</w:t>
            </w:r>
          </w:p>
          <w:p w14:paraId="2A2777A7"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Pubblica amministrazione </w:t>
            </w:r>
            <w:r>
              <w:rPr>
                <w:rFonts w:ascii="Times New Roman" w:eastAsia="Times New Roman" w:hAnsi="Times New Roman" w:cs="Times New Roman"/>
                <w:color w:val="000000"/>
                <w:sz w:val="18"/>
                <w:szCs w:val="18"/>
              </w:rPr>
              <w:br/>
              <w:t>e gli enti locali</w:t>
            </w:r>
          </w:p>
          <w:p w14:paraId="47261AC2"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La Magistratura</w:t>
            </w:r>
          </w:p>
          <w:p w14:paraId="1BDD5D32"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Gli organi di controllo costituzionale</w:t>
            </w:r>
          </w:p>
        </w:tc>
        <w:tc>
          <w:tcPr>
            <w:tcW w:w="3332"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164CFD0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Riconoscere quali siano le principali garanzie di stabilità del nostro Stato, eseguendo confronti critici tra il nostro sistema istituzionale e quello di altri Stati e valutando l’opportunità, o meno, </w:t>
            </w:r>
            <w:r>
              <w:rPr>
                <w:rFonts w:ascii="Times New Roman" w:eastAsia="Times New Roman" w:hAnsi="Times New Roman" w:cs="Times New Roman"/>
                <w:color w:val="000000"/>
                <w:sz w:val="18"/>
                <w:szCs w:val="18"/>
              </w:rPr>
              <w:br/>
              <w:t>di riformare la seconda Parte della nostra Costituzione</w:t>
            </w:r>
          </w:p>
        </w:tc>
        <w:tc>
          <w:tcPr>
            <w:tcW w:w="3329"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2294331D"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l’importanza delle funzioni politiche</w:t>
            </w:r>
          </w:p>
          <w:p w14:paraId="2A79A824"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in grado di valutare autonomamente la legittimità e l’opportunità delle immunità parlamentari</w:t>
            </w:r>
          </w:p>
          <w:p w14:paraId="1834474B"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la complessità della procedura legislativa</w:t>
            </w:r>
          </w:p>
          <w:p w14:paraId="289FD666"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Acquisire la sensibilità necessaria </w:t>
            </w:r>
            <w:r>
              <w:rPr>
                <w:rFonts w:ascii="Times New Roman" w:eastAsia="Times New Roman" w:hAnsi="Times New Roman" w:cs="Times New Roman"/>
                <w:color w:val="000000"/>
                <w:sz w:val="18"/>
                <w:szCs w:val="18"/>
              </w:rPr>
              <w:br/>
              <w:t xml:space="preserve">per valutare consapevolmente le proposte di riforma alla seconda parte </w:t>
            </w:r>
            <w:r>
              <w:rPr>
                <w:rFonts w:ascii="Times New Roman" w:eastAsia="Times New Roman" w:hAnsi="Times New Roman" w:cs="Times New Roman"/>
                <w:color w:val="000000"/>
                <w:sz w:val="18"/>
                <w:szCs w:val="18"/>
              </w:rPr>
              <w:br/>
              <w:t>della Costituzione</w:t>
            </w:r>
          </w:p>
          <w:p w14:paraId="16F0CBD7"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Cogliere l’importanza dell’azione </w:t>
            </w:r>
            <w:r>
              <w:rPr>
                <w:rFonts w:ascii="Times New Roman" w:eastAsia="Times New Roman" w:hAnsi="Times New Roman" w:cs="Times New Roman"/>
                <w:color w:val="000000"/>
                <w:sz w:val="18"/>
                <w:szCs w:val="18"/>
              </w:rPr>
              <w:br/>
              <w:t>del Governo in ambito politico, economico e sociale</w:t>
            </w:r>
          </w:p>
          <w:p w14:paraId="2EC8C735"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i meccanismi della funzione giurisdizionale</w:t>
            </w:r>
          </w:p>
          <w:p w14:paraId="678EF665"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Saper riconoscere il ruolo costituzionale del capo dello Stato</w:t>
            </w:r>
          </w:p>
          <w:p w14:paraId="728F7F18" w14:textId="77777777" w:rsidR="00B70876" w:rsidRDefault="00000000">
            <w:pPr>
              <w:widowControl w:val="0"/>
              <w:pBdr>
                <w:top w:val="nil"/>
                <w:left w:val="nil"/>
                <w:bottom w:val="nil"/>
                <w:right w:val="nil"/>
                <w:between w:val="nil"/>
              </w:pBdr>
              <w:spacing w:after="7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nella Corte costituzionale l’organo che tutela il rispetto della nostra Costituzione</w:t>
            </w:r>
          </w:p>
        </w:tc>
        <w:tc>
          <w:tcPr>
            <w:tcW w:w="3332"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060BA5F9"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funzionamento delle Camere</w:t>
            </w:r>
          </w:p>
          <w:p w14:paraId="07EAE474"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posizione giuridica dei parlamentari</w:t>
            </w:r>
          </w:p>
          <w:p w14:paraId="594AE2F2"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procedura legislativa</w:t>
            </w:r>
          </w:p>
          <w:p w14:paraId="28F14F95"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L’attività del Governo</w:t>
            </w:r>
          </w:p>
          <w:p w14:paraId="4C86CFA9"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L’attività dei magistrati</w:t>
            </w:r>
          </w:p>
          <w:p w14:paraId="6AD959A3"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Le attribuzioni del Presidente </w:t>
            </w:r>
            <w:r>
              <w:rPr>
                <w:rFonts w:ascii="Times New Roman" w:eastAsia="Times New Roman" w:hAnsi="Times New Roman" w:cs="Times New Roman"/>
                <w:color w:val="000000"/>
                <w:sz w:val="18"/>
                <w:szCs w:val="18"/>
              </w:rPr>
              <w:br/>
              <w:t>della Repubblica</w:t>
            </w:r>
          </w:p>
          <w:p w14:paraId="2F50BAD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funzioni della Corte costituzionale</w:t>
            </w:r>
          </w:p>
        </w:tc>
      </w:tr>
    </w:tbl>
    <w:p w14:paraId="3ED92AAC" w14:textId="77777777" w:rsidR="00B70876" w:rsidRDefault="00B70876"/>
    <w:tbl>
      <w:tblPr>
        <w:tblStyle w:val="a0"/>
        <w:tblW w:w="13363" w:type="dxa"/>
        <w:tblInd w:w="0" w:type="dxa"/>
        <w:tblBorders>
          <w:insideH w:val="single" w:sz="4" w:space="0" w:color="000000"/>
        </w:tblBorders>
        <w:tblLayout w:type="fixed"/>
        <w:tblLook w:val="0000" w:firstRow="0" w:lastRow="0" w:firstColumn="0" w:lastColumn="0" w:noHBand="0" w:noVBand="0"/>
      </w:tblPr>
      <w:tblGrid>
        <w:gridCol w:w="3038"/>
        <w:gridCol w:w="2661"/>
        <w:gridCol w:w="2445"/>
        <w:gridCol w:w="5219"/>
      </w:tblGrid>
      <w:tr w:rsidR="00B70876" w14:paraId="59096C42" w14:textId="77777777">
        <w:trPr>
          <w:tblHeader/>
        </w:trPr>
        <w:tc>
          <w:tcPr>
            <w:tcW w:w="3038"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2C46CEFE" w14:textId="77777777" w:rsidR="00B70876" w:rsidRDefault="00B70876">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24"/>
                <w:szCs w:val="24"/>
              </w:rPr>
            </w:pPr>
          </w:p>
        </w:tc>
        <w:tc>
          <w:tcPr>
            <w:tcW w:w="2661"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337FBD31"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Competenze</w:t>
            </w:r>
          </w:p>
        </w:tc>
        <w:tc>
          <w:tcPr>
            <w:tcW w:w="2445"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4689CF40"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 xml:space="preserve">Abilità </w:t>
            </w:r>
          </w:p>
        </w:tc>
        <w:tc>
          <w:tcPr>
            <w:tcW w:w="5219"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2FE0AAE9"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Conoscenze</w:t>
            </w:r>
          </w:p>
        </w:tc>
      </w:tr>
      <w:tr w:rsidR="00B70876" w14:paraId="6462ADEA" w14:textId="77777777">
        <w:tc>
          <w:tcPr>
            <w:tcW w:w="3038"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598B01FB" w14:textId="3AB2336E" w:rsidR="00B70876" w:rsidRDefault="00000000">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Modulo 3 – </w:t>
            </w:r>
            <w:r w:rsidR="001D6539">
              <w:rPr>
                <w:rFonts w:ascii="Times New Roman" w:eastAsia="Times New Roman" w:hAnsi="Times New Roman" w:cs="Times New Roman"/>
                <w:b/>
                <w:color w:val="000000"/>
                <w:sz w:val="18"/>
                <w:szCs w:val="18"/>
              </w:rPr>
              <w:t>Giustizia ordinaria e giustizia sportiva</w:t>
            </w:r>
          </w:p>
          <w:p w14:paraId="44D7EA80" w14:textId="77777777" w:rsidR="00B70876" w:rsidRDefault="00B70876">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p>
          <w:p w14:paraId="2A4C150E" w14:textId="77777777" w:rsidR="00B70876" w:rsidRDefault="00000000">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4553F60C" w14:textId="6352F72D" w:rsidR="001D6539" w:rsidRDefault="001D6539" w:rsidP="001D6539">
            <w:pPr>
              <w:pStyle w:val="Paragrafoelenco"/>
              <w:numPr>
                <w:ilvl w:val="0"/>
                <w:numId w:val="1"/>
              </w:numPr>
              <w:pBdr>
                <w:top w:val="nil"/>
                <w:left w:val="nil"/>
                <w:bottom w:val="nil"/>
                <w:right w:val="nil"/>
                <w:between w:val="nil"/>
              </w:pBdr>
              <w:tabs>
                <w:tab w:val="left" w:pos="1701"/>
              </w:tabs>
              <w:spacing w:after="40" w:line="288" w:lineRule="auto"/>
              <w:ind w:left="164" w:right="113" w:hanging="142"/>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La giustizia ordinaria e il CSM</w:t>
            </w:r>
          </w:p>
          <w:p w14:paraId="648DED11" w14:textId="2471B3F5" w:rsidR="001D6539" w:rsidRPr="001D6539" w:rsidRDefault="001D6539" w:rsidP="001D6539">
            <w:pPr>
              <w:pStyle w:val="Paragrafoelenco"/>
              <w:numPr>
                <w:ilvl w:val="0"/>
                <w:numId w:val="1"/>
              </w:numPr>
              <w:pBdr>
                <w:top w:val="nil"/>
                <w:left w:val="nil"/>
                <w:bottom w:val="nil"/>
                <w:right w:val="nil"/>
                <w:between w:val="nil"/>
              </w:pBdr>
              <w:tabs>
                <w:tab w:val="left" w:pos="1701"/>
              </w:tabs>
              <w:spacing w:after="40" w:line="288" w:lineRule="auto"/>
              <w:ind w:left="164" w:right="113" w:hanging="142"/>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La giustizia sportiva</w:t>
            </w:r>
          </w:p>
          <w:p w14:paraId="12CA0E7F" w14:textId="616BD7DA" w:rsidR="00B70876" w:rsidRDefault="00000000" w:rsidP="001D6539">
            <w:pPr>
              <w:widowControl w:val="0"/>
              <w:pBdr>
                <w:top w:val="nil"/>
                <w:left w:val="nil"/>
                <w:bottom w:val="nil"/>
                <w:right w:val="nil"/>
                <w:between w:val="nil"/>
              </w:pBdr>
              <w:spacing w:after="40" w:line="288" w:lineRule="auto"/>
              <w:ind w:right="113"/>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sz w:val="18"/>
                <w:szCs w:val="18"/>
              </w:rPr>
              <w:t xml:space="preserve">- La </w:t>
            </w:r>
            <w:proofErr w:type="spellStart"/>
            <w:r>
              <w:rPr>
                <w:rFonts w:ascii="Times New Roman" w:eastAsia="Times New Roman" w:hAnsi="Times New Roman" w:cs="Times New Roman"/>
                <w:sz w:val="18"/>
                <w:szCs w:val="18"/>
              </w:rPr>
              <w:t>responsabilita’</w:t>
            </w:r>
            <w:proofErr w:type="spellEnd"/>
            <w:r>
              <w:rPr>
                <w:rFonts w:ascii="Times New Roman" w:eastAsia="Times New Roman" w:hAnsi="Times New Roman" w:cs="Times New Roman"/>
                <w:sz w:val="18"/>
                <w:szCs w:val="18"/>
              </w:rPr>
              <w:t xml:space="preserve"> nello sport dal punto di vista civile e penale e sotto il profilo processuale</w:t>
            </w:r>
          </w:p>
        </w:tc>
        <w:tc>
          <w:tcPr>
            <w:tcW w:w="2661"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6C9ACB2B"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Utilizzare il linguaggio giuridico essenziale</w:t>
            </w:r>
          </w:p>
          <w:p w14:paraId="097127D6"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Saper riconoscere nel “giusto processo” l’adempimento, in materia processuale, del principio costituzionale di uguaglianza</w:t>
            </w:r>
          </w:p>
          <w:p w14:paraId="5511EFEB"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Essere in grado di valutare le proposte di riforma del sistema giudiziario italiano</w:t>
            </w:r>
          </w:p>
        </w:tc>
        <w:tc>
          <w:tcPr>
            <w:tcW w:w="2445"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2C2DE689"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Saper distinguere la giustizia civile dalla giustizia penale e da quella amministrativa</w:t>
            </w:r>
          </w:p>
          <w:p w14:paraId="77F1D947"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finalità pratica del ricorso all’arbitrato</w:t>
            </w:r>
          </w:p>
          <w:p w14:paraId="14296BE3"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Individuare quali siano gli interessi da tutelare nelle diverse forme </w:t>
            </w:r>
            <w:r>
              <w:rPr>
                <w:rFonts w:ascii="Times New Roman" w:eastAsia="Times New Roman" w:hAnsi="Times New Roman" w:cs="Times New Roman"/>
                <w:color w:val="000000"/>
                <w:sz w:val="18"/>
                <w:szCs w:val="18"/>
              </w:rPr>
              <w:br/>
              <w:t>di giurisdizione</w:t>
            </w:r>
          </w:p>
          <w:p w14:paraId="141C96F2"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funzione della fase istruttoria nel processo penale</w:t>
            </w:r>
          </w:p>
        </w:tc>
        <w:tc>
          <w:tcPr>
            <w:tcW w:w="5219"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27D76D39"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parti del processo civile</w:t>
            </w:r>
          </w:p>
          <w:p w14:paraId="0E85FD1A"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processo di cognizione e quello di esecuzione</w:t>
            </w:r>
          </w:p>
          <w:p w14:paraId="454B764F"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L’arbitrato</w:t>
            </w:r>
          </w:p>
          <w:p w14:paraId="7B068073"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reati e le pene</w:t>
            </w:r>
          </w:p>
          <w:p w14:paraId="437AAE1E"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fasi del processo penale e i procedimenti speciali</w:t>
            </w:r>
          </w:p>
          <w:p w14:paraId="547695EE"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ricorsi amministrativi e il processo amministrativo</w:t>
            </w:r>
          </w:p>
        </w:tc>
      </w:tr>
      <w:tr w:rsidR="00B70876" w14:paraId="04192E00" w14:textId="77777777">
        <w:tc>
          <w:tcPr>
            <w:tcW w:w="3038"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38B6DDC6" w14:textId="77777777" w:rsidR="00B70876" w:rsidRDefault="00000000">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4 – Il rapporto con gli Stati</w:t>
            </w:r>
          </w:p>
          <w:p w14:paraId="5A66C0C1" w14:textId="77777777" w:rsidR="00B70876" w:rsidRDefault="00B70876">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p>
          <w:p w14:paraId="32FDA56C" w14:textId="77777777" w:rsidR="00B70876" w:rsidRDefault="00B70876">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p>
          <w:p w14:paraId="47BFFCFF" w14:textId="77777777" w:rsidR="00B70876" w:rsidRDefault="00000000">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2B599788" w14:textId="653826D4" w:rsidR="00B70876" w:rsidRDefault="00000000">
            <w:pPr>
              <w:widowControl w:val="0"/>
              <w:pBdr>
                <w:top w:val="nil"/>
                <w:left w:val="nil"/>
                <w:bottom w:val="nil"/>
                <w:right w:val="nil"/>
                <w:between w:val="nil"/>
              </w:pBdr>
              <w:spacing w:after="4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L’ordinamento internazionale</w:t>
            </w:r>
            <w:r w:rsidR="001D6539">
              <w:rPr>
                <w:rFonts w:ascii="Times New Roman" w:eastAsia="Times New Roman" w:hAnsi="Times New Roman" w:cs="Times New Roman"/>
                <w:color w:val="000000"/>
                <w:sz w:val="18"/>
                <w:szCs w:val="18"/>
              </w:rPr>
              <w:t>: l’ONU. La tutela dei diritti umani, il diritto d’asilo, la NATO</w:t>
            </w:r>
          </w:p>
          <w:p w14:paraId="27170E88" w14:textId="2947B16D" w:rsidR="00B70876" w:rsidRDefault="00000000">
            <w:pPr>
              <w:widowControl w:val="0"/>
              <w:pBdr>
                <w:top w:val="nil"/>
                <w:left w:val="nil"/>
                <w:bottom w:val="nil"/>
                <w:right w:val="nil"/>
                <w:between w:val="nil"/>
              </w:pBdr>
              <w:spacing w:after="4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L’Unione europea</w:t>
            </w:r>
            <w:r w:rsidR="001D6539">
              <w:rPr>
                <w:rFonts w:ascii="Times New Roman" w:eastAsia="Times New Roman" w:hAnsi="Times New Roman" w:cs="Times New Roman"/>
                <w:color w:val="000000"/>
                <w:sz w:val="18"/>
                <w:szCs w:val="18"/>
              </w:rPr>
              <w:t xml:space="preserve"> e le sue istituzioni</w:t>
            </w:r>
          </w:p>
          <w:p w14:paraId="3A952DE1" w14:textId="77777777" w:rsidR="00B70876" w:rsidRDefault="00000000">
            <w:pPr>
              <w:widowControl w:val="0"/>
              <w:numPr>
                <w:ilvl w:val="0"/>
                <w:numId w:val="2"/>
              </w:numPr>
              <w:pBdr>
                <w:top w:val="nil"/>
                <w:left w:val="nil"/>
                <w:bottom w:val="nil"/>
                <w:right w:val="nil"/>
                <w:between w:val="nil"/>
              </w:pBdr>
              <w:spacing w:after="40" w:line="288" w:lineRule="auto"/>
              <w:ind w:left="283"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Le politiche europee a favore dello sport</w:t>
            </w:r>
          </w:p>
        </w:tc>
        <w:tc>
          <w:tcPr>
            <w:tcW w:w="2661"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080DEC9B"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Utilizzare il linguaggio giuridico essenziale</w:t>
            </w:r>
          </w:p>
          <w:p w14:paraId="193A9DF3"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Saper valutare i limiti insiti </w:t>
            </w:r>
            <w:r>
              <w:rPr>
                <w:rFonts w:ascii="Times New Roman" w:eastAsia="Times New Roman" w:hAnsi="Times New Roman" w:cs="Times New Roman"/>
                <w:color w:val="000000"/>
                <w:sz w:val="18"/>
                <w:szCs w:val="18"/>
              </w:rPr>
              <w:br/>
              <w:t>nel funzionamento attuale dell’</w:t>
            </w:r>
            <w:r>
              <w:rPr>
                <w:rFonts w:ascii="Times New Roman" w:eastAsia="Times New Roman" w:hAnsi="Times New Roman" w:cs="Times New Roman"/>
                <w:smallCaps/>
                <w:color w:val="000000"/>
                <w:sz w:val="18"/>
                <w:szCs w:val="18"/>
              </w:rPr>
              <w:t>ONU</w:t>
            </w:r>
            <w:r>
              <w:rPr>
                <w:rFonts w:ascii="Times New Roman" w:eastAsia="Times New Roman" w:hAnsi="Times New Roman" w:cs="Times New Roman"/>
                <w:color w:val="000000"/>
                <w:sz w:val="18"/>
                <w:szCs w:val="18"/>
              </w:rPr>
              <w:t>, riflettendo sulle possibili strategie volte a rafforzarne l’immagine e l’incisività a livello internazionale</w:t>
            </w:r>
          </w:p>
          <w:p w14:paraId="78CA2A1F"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Confrontare con competenza i principi della nostra Costituzione con quelli della </w:t>
            </w:r>
            <w:r>
              <w:rPr>
                <w:rFonts w:ascii="Times New Roman" w:eastAsia="Times New Roman" w:hAnsi="Times New Roman" w:cs="Times New Roman"/>
                <w:i/>
                <w:color w:val="000000"/>
                <w:sz w:val="18"/>
                <w:szCs w:val="18"/>
              </w:rPr>
              <w:t>Carta dei diritti fondamentali dell’Unione europea</w:t>
            </w:r>
          </w:p>
          <w:p w14:paraId="7EBEE5F6"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nella sua complessa varietà, il carattere sovranazionale dell’Unione europea</w:t>
            </w:r>
          </w:p>
        </w:tc>
        <w:tc>
          <w:tcPr>
            <w:tcW w:w="2445"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7C89148F"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l’importanza e la complessità delle relazioni tra gli Stati</w:t>
            </w:r>
          </w:p>
          <w:p w14:paraId="31E6BE71"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i punti di forza e di debolezza delle più importanti organizzazioni internazionali</w:t>
            </w:r>
          </w:p>
          <w:p w14:paraId="7C24BEB4"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Intuire le opportunità sociali, oltre che economiche, dell’allargamento dell’Unione europea</w:t>
            </w:r>
          </w:p>
          <w:p w14:paraId="28B4EE70"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Cogliere i vantaggi collegati alla cittadinanza europea</w:t>
            </w:r>
          </w:p>
        </w:tc>
        <w:tc>
          <w:tcPr>
            <w:tcW w:w="5219"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402BF9A8"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diritto internazionale e le sue fonti</w:t>
            </w:r>
          </w:p>
          <w:p w14:paraId="721579FF"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L’Italia nel contesto internazionale</w:t>
            </w:r>
          </w:p>
          <w:p w14:paraId="3CF60EEB"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funzioni dell’</w:t>
            </w:r>
            <w:r>
              <w:rPr>
                <w:rFonts w:ascii="Times New Roman" w:eastAsia="Times New Roman" w:hAnsi="Times New Roman" w:cs="Times New Roman"/>
                <w:smallCaps/>
                <w:color w:val="000000"/>
                <w:sz w:val="18"/>
                <w:szCs w:val="18"/>
              </w:rPr>
              <w:t>ONU</w:t>
            </w:r>
          </w:p>
          <w:p w14:paraId="46A71AC6"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Il ruolo della </w:t>
            </w:r>
            <w:r>
              <w:rPr>
                <w:rFonts w:ascii="Times New Roman" w:eastAsia="Times New Roman" w:hAnsi="Times New Roman" w:cs="Times New Roman"/>
                <w:smallCaps/>
                <w:color w:val="000000"/>
                <w:sz w:val="18"/>
                <w:szCs w:val="18"/>
              </w:rPr>
              <w:t>NATO</w:t>
            </w:r>
          </w:p>
          <w:p w14:paraId="13BAE9C3"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storia, l’organizzazione e gli obiettivi dell’Unione europea</w:t>
            </w:r>
          </w:p>
          <w:p w14:paraId="04A68A6D"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Gli obiettivi del </w:t>
            </w:r>
            <w:r>
              <w:rPr>
                <w:rFonts w:ascii="Times New Roman" w:eastAsia="Times New Roman" w:hAnsi="Times New Roman" w:cs="Times New Roman"/>
                <w:smallCaps/>
                <w:color w:val="000000"/>
                <w:sz w:val="18"/>
                <w:szCs w:val="18"/>
              </w:rPr>
              <w:t>G8</w:t>
            </w:r>
            <w:r>
              <w:rPr>
                <w:rFonts w:ascii="Times New Roman" w:eastAsia="Times New Roman" w:hAnsi="Times New Roman" w:cs="Times New Roman"/>
                <w:color w:val="000000"/>
                <w:sz w:val="18"/>
                <w:szCs w:val="18"/>
              </w:rPr>
              <w:t xml:space="preserve"> e del </w:t>
            </w:r>
            <w:r>
              <w:rPr>
                <w:rFonts w:ascii="Times New Roman" w:eastAsia="Times New Roman" w:hAnsi="Times New Roman" w:cs="Times New Roman"/>
                <w:smallCaps/>
                <w:color w:val="000000"/>
                <w:sz w:val="18"/>
                <w:szCs w:val="18"/>
              </w:rPr>
              <w:t>G20</w:t>
            </w:r>
            <w:r>
              <w:rPr>
                <w:rFonts w:ascii="Times New Roman" w:eastAsia="Times New Roman" w:hAnsi="Times New Roman" w:cs="Times New Roman"/>
                <w:color w:val="000000"/>
                <w:sz w:val="18"/>
                <w:szCs w:val="18"/>
              </w:rPr>
              <w:t xml:space="preserve">, del </w:t>
            </w:r>
            <w:r>
              <w:rPr>
                <w:rFonts w:ascii="Times New Roman" w:eastAsia="Times New Roman" w:hAnsi="Times New Roman" w:cs="Times New Roman"/>
                <w:smallCaps/>
                <w:color w:val="000000"/>
                <w:sz w:val="18"/>
                <w:szCs w:val="18"/>
              </w:rPr>
              <w:t>WTO</w:t>
            </w:r>
            <w:r>
              <w:rPr>
                <w:rFonts w:ascii="Times New Roman" w:eastAsia="Times New Roman" w:hAnsi="Times New Roman" w:cs="Times New Roman"/>
                <w:color w:val="000000"/>
                <w:sz w:val="18"/>
                <w:szCs w:val="18"/>
              </w:rPr>
              <w:t xml:space="preserve"> e dell’</w:t>
            </w:r>
            <w:r>
              <w:rPr>
                <w:rFonts w:ascii="Times New Roman" w:eastAsia="Times New Roman" w:hAnsi="Times New Roman" w:cs="Times New Roman"/>
                <w:smallCaps/>
                <w:color w:val="000000"/>
                <w:sz w:val="18"/>
                <w:szCs w:val="18"/>
              </w:rPr>
              <w:t>OCSE</w:t>
            </w:r>
          </w:p>
        </w:tc>
      </w:tr>
    </w:tbl>
    <w:p w14:paraId="55066488" w14:textId="77777777" w:rsidR="00B70876" w:rsidRDefault="00000000">
      <w:r>
        <w:br w:type="page"/>
      </w:r>
    </w:p>
    <w:tbl>
      <w:tblPr>
        <w:tblStyle w:val="a1"/>
        <w:tblW w:w="13363" w:type="dxa"/>
        <w:tblInd w:w="0" w:type="dxa"/>
        <w:tblBorders>
          <w:insideH w:val="single" w:sz="4" w:space="0" w:color="000000"/>
        </w:tblBorders>
        <w:tblLayout w:type="fixed"/>
        <w:tblLook w:val="0000" w:firstRow="0" w:lastRow="0" w:firstColumn="0" w:lastColumn="0" w:noHBand="0" w:noVBand="0"/>
      </w:tblPr>
      <w:tblGrid>
        <w:gridCol w:w="3039"/>
        <w:gridCol w:w="2656"/>
        <w:gridCol w:w="2444"/>
        <w:gridCol w:w="5224"/>
      </w:tblGrid>
      <w:tr w:rsidR="00B70876" w14:paraId="38993CE3" w14:textId="77777777">
        <w:trPr>
          <w:tblHeader/>
        </w:trPr>
        <w:tc>
          <w:tcPr>
            <w:tcW w:w="3039"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714B8786" w14:textId="77777777" w:rsidR="00B70876" w:rsidRDefault="00B70876">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24"/>
                <w:szCs w:val="24"/>
              </w:rPr>
            </w:pPr>
          </w:p>
        </w:tc>
        <w:tc>
          <w:tcPr>
            <w:tcW w:w="2656"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799B22E0"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Competenze</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4F95EDAD"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 xml:space="preserve">Abilità </w:t>
            </w:r>
          </w:p>
        </w:tc>
        <w:tc>
          <w:tcPr>
            <w:tcW w:w="5224"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45CBDAE4"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Conoscenze</w:t>
            </w:r>
          </w:p>
        </w:tc>
      </w:tr>
      <w:tr w:rsidR="00B70876" w14:paraId="3A15A3D1" w14:textId="77777777">
        <w:tc>
          <w:tcPr>
            <w:tcW w:w="3039" w:type="dxa"/>
            <w:tcBorders>
              <w:top w:val="single" w:sz="6" w:space="0" w:color="000000"/>
              <w:left w:val="single" w:sz="4" w:space="0" w:color="000000"/>
              <w:bottom w:val="single" w:sz="4" w:space="0" w:color="000000"/>
              <w:right w:val="single" w:sz="6" w:space="0" w:color="000000"/>
            </w:tcBorders>
            <w:shd w:val="clear" w:color="auto" w:fill="auto"/>
            <w:tcMar>
              <w:top w:w="113" w:type="dxa"/>
              <w:left w:w="113" w:type="dxa"/>
              <w:bottom w:w="113" w:type="dxa"/>
              <w:right w:w="113" w:type="dxa"/>
            </w:tcMar>
          </w:tcPr>
          <w:p w14:paraId="69C1A50F" w14:textId="77777777" w:rsidR="00B70876" w:rsidRDefault="00000000">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5 – Il mondo delle imprese</w:t>
            </w:r>
          </w:p>
          <w:p w14:paraId="44E60D10" w14:textId="77777777" w:rsidR="00B70876" w:rsidRDefault="00B70876">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p>
          <w:p w14:paraId="488FE5C5" w14:textId="77777777" w:rsidR="00B70876" w:rsidRDefault="00000000">
            <w:pPr>
              <w:widowControl w:val="0"/>
              <w:pBdr>
                <w:top w:val="nil"/>
                <w:left w:val="nil"/>
                <w:bottom w:val="nil"/>
                <w:right w:val="nil"/>
                <w:between w:val="nil"/>
              </w:pBdr>
              <w:tabs>
                <w:tab w:val="left" w:pos="1701"/>
              </w:tabs>
              <w:spacing w:after="4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536E90EE" w14:textId="18C964ED" w:rsidR="00B70876" w:rsidRDefault="00000000">
            <w:pPr>
              <w:widowControl w:val="0"/>
              <w:pBdr>
                <w:top w:val="nil"/>
                <w:left w:val="nil"/>
                <w:bottom w:val="nil"/>
                <w:right w:val="nil"/>
                <w:between w:val="nil"/>
              </w:pBdr>
              <w:spacing w:after="4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L’imprenditore</w:t>
            </w:r>
            <w:r w:rsidR="001D6539">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 xml:space="preserve"> l’impresa</w:t>
            </w:r>
            <w:r w:rsidR="001D6539">
              <w:rPr>
                <w:rFonts w:ascii="Times New Roman" w:eastAsia="Times New Roman" w:hAnsi="Times New Roman" w:cs="Times New Roman"/>
                <w:color w:val="000000"/>
                <w:sz w:val="18"/>
                <w:szCs w:val="18"/>
              </w:rPr>
              <w:t xml:space="preserve"> e l’azienda</w:t>
            </w:r>
          </w:p>
          <w:p w14:paraId="53BAD68C" w14:textId="77777777" w:rsidR="00B70876" w:rsidRDefault="00000000">
            <w:pPr>
              <w:widowControl w:val="0"/>
              <w:pBdr>
                <w:top w:val="nil"/>
                <w:left w:val="nil"/>
                <w:bottom w:val="nil"/>
                <w:right w:val="nil"/>
                <w:between w:val="nil"/>
              </w:pBdr>
              <w:spacing w:after="4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La costituzione e le caratteristiche delle società</w:t>
            </w:r>
          </w:p>
          <w:p w14:paraId="41C59BC4" w14:textId="1C6C162F" w:rsidR="001D6539" w:rsidRDefault="00000000" w:rsidP="001D6539">
            <w:pPr>
              <w:widowControl w:val="0"/>
              <w:numPr>
                <w:ilvl w:val="0"/>
                <w:numId w:val="5"/>
              </w:numPr>
              <w:pBdr>
                <w:top w:val="nil"/>
                <w:left w:val="nil"/>
                <w:bottom w:val="nil"/>
                <w:right w:val="nil"/>
                <w:between w:val="nil"/>
              </w:pBdr>
              <w:spacing w:after="0" w:line="288" w:lineRule="auto"/>
              <w:ind w:left="141"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1D6539">
              <w:rPr>
                <w:rFonts w:ascii="Times New Roman" w:eastAsia="Times New Roman" w:hAnsi="Times New Roman" w:cs="Times New Roman"/>
                <w:sz w:val="18"/>
                <w:szCs w:val="18"/>
              </w:rPr>
              <w:t>il marketing dello sport</w:t>
            </w:r>
          </w:p>
          <w:p w14:paraId="6B576872" w14:textId="0F2DF857" w:rsidR="001D6539" w:rsidRDefault="001D6539" w:rsidP="001D6539">
            <w:pPr>
              <w:widowControl w:val="0"/>
              <w:numPr>
                <w:ilvl w:val="0"/>
                <w:numId w:val="5"/>
              </w:numPr>
              <w:pBdr>
                <w:top w:val="nil"/>
                <w:left w:val="nil"/>
                <w:bottom w:val="nil"/>
                <w:right w:val="nil"/>
                <w:between w:val="nil"/>
              </w:pBdr>
              <w:spacing w:after="0" w:line="288" w:lineRule="auto"/>
              <w:ind w:left="141"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I media e le professioni nello sport</w:t>
            </w:r>
          </w:p>
          <w:p w14:paraId="2B817774" w14:textId="6DCB2063" w:rsidR="001D6539" w:rsidRDefault="001D6539" w:rsidP="001D6539">
            <w:pPr>
              <w:widowControl w:val="0"/>
              <w:numPr>
                <w:ilvl w:val="0"/>
                <w:numId w:val="5"/>
              </w:numPr>
              <w:pBdr>
                <w:top w:val="nil"/>
                <w:left w:val="nil"/>
                <w:bottom w:val="nil"/>
                <w:right w:val="nil"/>
                <w:between w:val="nil"/>
              </w:pBdr>
              <w:spacing w:after="0" w:line="288" w:lineRule="auto"/>
              <w:ind w:left="141"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l’economia internazionale </w:t>
            </w:r>
          </w:p>
          <w:p w14:paraId="20274BEC" w14:textId="4DDAF26F" w:rsidR="001D6539" w:rsidRDefault="001D6539" w:rsidP="001D6539">
            <w:pPr>
              <w:widowControl w:val="0"/>
              <w:numPr>
                <w:ilvl w:val="0"/>
                <w:numId w:val="5"/>
              </w:numPr>
              <w:pBdr>
                <w:top w:val="nil"/>
                <w:left w:val="nil"/>
                <w:bottom w:val="nil"/>
                <w:right w:val="nil"/>
                <w:between w:val="nil"/>
              </w:pBdr>
              <w:spacing w:after="0" w:line="288" w:lineRule="auto"/>
              <w:ind w:left="141"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 Il Recovery Plan</w:t>
            </w:r>
          </w:p>
          <w:p w14:paraId="0CFA0737" w14:textId="77777777" w:rsidR="001D6539" w:rsidRDefault="001D6539" w:rsidP="001D6539">
            <w:pPr>
              <w:widowControl w:val="0"/>
              <w:numPr>
                <w:ilvl w:val="0"/>
                <w:numId w:val="5"/>
              </w:numPr>
              <w:pBdr>
                <w:top w:val="nil"/>
                <w:left w:val="nil"/>
                <w:bottom w:val="nil"/>
                <w:right w:val="nil"/>
                <w:between w:val="nil"/>
              </w:pBdr>
              <w:spacing w:after="0" w:line="288" w:lineRule="auto"/>
              <w:ind w:left="141" w:right="113"/>
              <w:rPr>
                <w:rFonts w:ascii="Times New Roman" w:eastAsia="Times New Roman" w:hAnsi="Times New Roman" w:cs="Times New Roman"/>
                <w:sz w:val="18"/>
                <w:szCs w:val="18"/>
              </w:rPr>
            </w:pPr>
          </w:p>
          <w:p w14:paraId="54F57F0D" w14:textId="01318895" w:rsidR="00B70876" w:rsidRDefault="00B70876">
            <w:pPr>
              <w:widowControl w:val="0"/>
              <w:numPr>
                <w:ilvl w:val="0"/>
                <w:numId w:val="5"/>
              </w:numPr>
              <w:pBdr>
                <w:top w:val="nil"/>
                <w:left w:val="nil"/>
                <w:bottom w:val="nil"/>
                <w:right w:val="nil"/>
                <w:between w:val="nil"/>
              </w:pBdr>
              <w:spacing w:after="40" w:line="288" w:lineRule="auto"/>
              <w:ind w:left="141" w:right="113"/>
              <w:rPr>
                <w:rFonts w:ascii="Times New Roman" w:eastAsia="Times New Roman" w:hAnsi="Times New Roman" w:cs="Times New Roman"/>
                <w:sz w:val="18"/>
                <w:szCs w:val="18"/>
              </w:rPr>
            </w:pPr>
          </w:p>
        </w:tc>
        <w:tc>
          <w:tcPr>
            <w:tcW w:w="2656"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6917EF2F"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Utilizzare il linguaggio giuridico essenziale</w:t>
            </w:r>
          </w:p>
          <w:p w14:paraId="563FD9A1"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Distinguere gli effetti derivanti dalla qualità di socio in una società di capitali rispetto a quelli legati alla partecipazione in una società di persone</w:t>
            </w:r>
          </w:p>
          <w:p w14:paraId="6A8CE37B"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Collegare la libertà di concorrenza alla tutela delle libertà prevista dalla Costituzione</w:t>
            </w:r>
          </w:p>
        </w:tc>
        <w:tc>
          <w:tcPr>
            <w:tcW w:w="2444"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39FFD866"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Comprendere il ruolo dell’imprenditore nel mondo </w:t>
            </w:r>
            <w:proofErr w:type="gramStart"/>
            <w:r>
              <w:rPr>
                <w:rFonts w:ascii="Times New Roman" w:eastAsia="Times New Roman" w:hAnsi="Times New Roman" w:cs="Times New Roman"/>
                <w:color w:val="000000"/>
                <w:sz w:val="18"/>
                <w:szCs w:val="18"/>
              </w:rPr>
              <w:t>socio-economico</w:t>
            </w:r>
            <w:proofErr w:type="gramEnd"/>
          </w:p>
          <w:p w14:paraId="271D9E6B"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Cogliere le ragioni dell’imposizione </w:t>
            </w:r>
            <w:r>
              <w:rPr>
                <w:rFonts w:ascii="Times New Roman" w:eastAsia="Times New Roman" w:hAnsi="Times New Roman" w:cs="Times New Roman"/>
                <w:color w:val="000000"/>
                <w:sz w:val="18"/>
                <w:szCs w:val="18"/>
              </w:rPr>
              <w:br/>
              <w:t>di determinati obblighi agli imprenditori commerciali</w:t>
            </w:r>
          </w:p>
          <w:p w14:paraId="36532EC9"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Individuare i motivi che spingono alla costituzione di un modello societario piuttosto che di un altro</w:t>
            </w:r>
          </w:p>
          <w:p w14:paraId="3036AC89"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la funzione della normativa antitrust</w:t>
            </w:r>
          </w:p>
        </w:tc>
        <w:tc>
          <w:tcPr>
            <w:tcW w:w="5224"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3C85E39A"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funzione dell’imprenditore</w:t>
            </w:r>
          </w:p>
          <w:p w14:paraId="777970FF"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distinzione tra imprenditori agricoli e commerciali</w:t>
            </w:r>
          </w:p>
          <w:p w14:paraId="08F0CF9D"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piccoli imprenditori e l’impresa familiare</w:t>
            </w:r>
          </w:p>
          <w:p w14:paraId="19597FF2"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nozione di società</w:t>
            </w:r>
          </w:p>
          <w:p w14:paraId="198E2C73"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principali caratteri delle società di persone e delle società di capitali</w:t>
            </w:r>
          </w:p>
          <w:p w14:paraId="7E4C00D4"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funzioni e l’organizzazione delle società mutualistiche</w:t>
            </w:r>
          </w:p>
          <w:p w14:paraId="44C8C90A"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normativa sulla concorrenza</w:t>
            </w:r>
          </w:p>
          <w:p w14:paraId="65D56091" w14:textId="77777777" w:rsidR="00B70876" w:rsidRDefault="00000000">
            <w:pPr>
              <w:widowControl w:val="0"/>
              <w:pBdr>
                <w:top w:val="nil"/>
                <w:left w:val="nil"/>
                <w:bottom w:val="nil"/>
                <w:right w:val="nil"/>
                <w:between w:val="nil"/>
              </w:pBdr>
              <w:spacing w:after="4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Gli atti di concorrenza sleale</w:t>
            </w:r>
          </w:p>
          <w:p w14:paraId="45E69602" w14:textId="77777777" w:rsidR="00B70876" w:rsidRDefault="00000000">
            <w:pPr>
              <w:widowControl w:val="0"/>
              <w:pBdr>
                <w:top w:val="nil"/>
                <w:left w:val="nil"/>
                <w:bottom w:val="nil"/>
                <w:right w:val="nil"/>
                <w:between w:val="nil"/>
              </w:pBdr>
              <w:spacing w:after="4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normativa antitrust</w:t>
            </w:r>
          </w:p>
        </w:tc>
      </w:tr>
    </w:tbl>
    <w:p w14:paraId="6B3A61A3" w14:textId="77777777" w:rsidR="00B70876" w:rsidRDefault="00B70876"/>
    <w:p w14:paraId="39C0ACD1" w14:textId="77777777" w:rsidR="00B70876" w:rsidRDefault="00000000">
      <w:r>
        <w:br w:type="page"/>
      </w:r>
    </w:p>
    <w:tbl>
      <w:tblPr>
        <w:tblStyle w:val="a2"/>
        <w:tblW w:w="13323" w:type="dxa"/>
        <w:tblInd w:w="0" w:type="dxa"/>
        <w:tblBorders>
          <w:insideH w:val="single" w:sz="4" w:space="0" w:color="000000"/>
        </w:tblBorders>
        <w:tblLayout w:type="fixed"/>
        <w:tblLook w:val="0000" w:firstRow="0" w:lastRow="0" w:firstColumn="0" w:lastColumn="0" w:noHBand="0" w:noVBand="0"/>
      </w:tblPr>
      <w:tblGrid>
        <w:gridCol w:w="3332"/>
        <w:gridCol w:w="3332"/>
        <w:gridCol w:w="3328"/>
        <w:gridCol w:w="3331"/>
      </w:tblGrid>
      <w:tr w:rsidR="00B70876" w14:paraId="6506624F" w14:textId="77777777">
        <w:trPr>
          <w:tblHeader/>
        </w:trPr>
        <w:tc>
          <w:tcPr>
            <w:tcW w:w="3332"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2FB2987B" w14:textId="77777777" w:rsidR="00B70876" w:rsidRDefault="00B70876">
            <w:pPr>
              <w:widowControl w:val="0"/>
              <w:pBdr>
                <w:top w:val="nil"/>
                <w:left w:val="nil"/>
                <w:bottom w:val="nil"/>
                <w:right w:val="nil"/>
                <w:between w:val="nil"/>
              </w:pBdr>
              <w:spacing w:after="0" w:line="288" w:lineRule="auto"/>
              <w:ind w:left="170" w:right="113" w:hanging="170"/>
              <w:rPr>
                <w:rFonts w:ascii="Times New Roman" w:eastAsia="Times New Roman" w:hAnsi="Times New Roman" w:cs="Times New Roman"/>
                <w:color w:val="000000"/>
                <w:sz w:val="24"/>
                <w:szCs w:val="24"/>
              </w:rPr>
            </w:pPr>
          </w:p>
        </w:tc>
        <w:tc>
          <w:tcPr>
            <w:tcW w:w="3332"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71907641"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Competenze</w:t>
            </w:r>
          </w:p>
        </w:tc>
        <w:tc>
          <w:tcPr>
            <w:tcW w:w="3328"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4E159812"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 xml:space="preserve">Abilità </w:t>
            </w:r>
          </w:p>
        </w:tc>
        <w:tc>
          <w:tcPr>
            <w:tcW w:w="3331"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2D77B924" w14:textId="77777777" w:rsidR="00B70876" w:rsidRDefault="00000000">
            <w:pPr>
              <w:widowControl w:val="0"/>
              <w:pBdr>
                <w:top w:val="nil"/>
                <w:left w:val="nil"/>
                <w:bottom w:val="nil"/>
                <w:right w:val="nil"/>
                <w:between w:val="nil"/>
              </w:pBdr>
              <w:tabs>
                <w:tab w:val="left" w:pos="1701"/>
              </w:tabs>
              <w:spacing w:after="0" w:line="288" w:lineRule="auto"/>
              <w:ind w:left="170" w:right="113" w:hanging="170"/>
              <w:rPr>
                <w:rFonts w:ascii="AkzidenzGroteskBE-Bold" w:eastAsia="AkzidenzGroteskBE-Bold" w:hAnsi="AkzidenzGroteskBE-Bold" w:cs="AkzidenzGroteskBE-Bold"/>
                <w:b/>
                <w:color w:val="000000"/>
                <w:sz w:val="18"/>
                <w:szCs w:val="18"/>
              </w:rPr>
            </w:pPr>
            <w:r>
              <w:rPr>
                <w:rFonts w:ascii="Times New Roman" w:eastAsia="Times New Roman" w:hAnsi="Times New Roman" w:cs="Times New Roman"/>
                <w:b/>
                <w:color w:val="000000"/>
                <w:sz w:val="18"/>
                <w:szCs w:val="18"/>
              </w:rPr>
              <w:t>Conoscenze</w:t>
            </w:r>
          </w:p>
        </w:tc>
      </w:tr>
      <w:tr w:rsidR="00B70876" w14:paraId="74F789E9" w14:textId="77777777">
        <w:trPr>
          <w:tblHeader/>
        </w:trPr>
        <w:tc>
          <w:tcPr>
            <w:tcW w:w="3332" w:type="dxa"/>
            <w:tcBorders>
              <w:top w:val="single" w:sz="6" w:space="0" w:color="000000"/>
              <w:left w:val="single" w:sz="4" w:space="0" w:color="000000"/>
              <w:bottom w:val="single" w:sz="6" w:space="0" w:color="000000"/>
              <w:right w:val="single" w:sz="6" w:space="0" w:color="000000"/>
            </w:tcBorders>
            <w:shd w:val="clear" w:color="auto" w:fill="auto"/>
            <w:tcMar>
              <w:top w:w="113" w:type="dxa"/>
              <w:left w:w="113" w:type="dxa"/>
              <w:bottom w:w="113" w:type="dxa"/>
              <w:right w:w="113" w:type="dxa"/>
            </w:tcMar>
          </w:tcPr>
          <w:p w14:paraId="40F64E6F"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6 – L’impresa sotto il profilo economico-aziendale</w:t>
            </w:r>
          </w:p>
          <w:p w14:paraId="442BDB14" w14:textId="77777777" w:rsidR="00B70876" w:rsidRDefault="00B70876">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6180778A"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CONTENUTI: </w:t>
            </w:r>
          </w:p>
          <w:p w14:paraId="1876CAD8"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L’attività d’impresa</w:t>
            </w:r>
          </w:p>
          <w:p w14:paraId="20506E8D"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L’organizzazione dell’impresa</w:t>
            </w:r>
          </w:p>
          <w:p w14:paraId="48ADE5E6"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Il marketing</w:t>
            </w:r>
          </w:p>
          <w:p w14:paraId="53D7A305" w14:textId="4128AA87" w:rsidR="001D6539" w:rsidRPr="001D6539" w:rsidRDefault="001D6539" w:rsidP="001D6539">
            <w:pPr>
              <w:pStyle w:val="Paragrafoelenco"/>
              <w:numPr>
                <w:ilvl w:val="0"/>
                <w:numId w:val="6"/>
              </w:numPr>
              <w:pBdr>
                <w:top w:val="nil"/>
                <w:left w:val="nil"/>
                <w:bottom w:val="nil"/>
                <w:right w:val="nil"/>
                <w:between w:val="nil"/>
              </w:pBdr>
              <w:spacing w:line="288" w:lineRule="auto"/>
              <w:ind w:left="306" w:right="113" w:hanging="284"/>
              <w:rPr>
                <w:rFonts w:ascii="Times New Roman" w:eastAsia="Times New Roman" w:hAnsi="Times New Roman" w:cs="Times New Roman"/>
                <w:sz w:val="18"/>
                <w:szCs w:val="18"/>
              </w:rPr>
            </w:pPr>
            <w:r w:rsidRPr="001D6539">
              <w:rPr>
                <w:rFonts w:ascii="Times New Roman" w:eastAsia="Times New Roman" w:hAnsi="Times New Roman" w:cs="Times New Roman"/>
                <w:sz w:val="18"/>
                <w:szCs w:val="18"/>
              </w:rPr>
              <w:t xml:space="preserve"> il marketing dello sport</w:t>
            </w:r>
          </w:p>
          <w:p w14:paraId="1295CDA9" w14:textId="77777777" w:rsidR="001D6539" w:rsidRDefault="001D6539" w:rsidP="001D6539">
            <w:pPr>
              <w:widowControl w:val="0"/>
              <w:numPr>
                <w:ilvl w:val="0"/>
                <w:numId w:val="6"/>
              </w:numPr>
              <w:pBdr>
                <w:top w:val="nil"/>
                <w:left w:val="nil"/>
                <w:bottom w:val="nil"/>
                <w:right w:val="nil"/>
                <w:between w:val="nil"/>
              </w:pBdr>
              <w:spacing w:after="0" w:line="288" w:lineRule="auto"/>
              <w:ind w:left="306" w:right="113" w:hanging="284"/>
              <w:rPr>
                <w:rFonts w:ascii="Times New Roman" w:eastAsia="Times New Roman" w:hAnsi="Times New Roman" w:cs="Times New Roman"/>
                <w:sz w:val="18"/>
                <w:szCs w:val="18"/>
              </w:rPr>
            </w:pPr>
            <w:r>
              <w:rPr>
                <w:rFonts w:ascii="Times New Roman" w:eastAsia="Times New Roman" w:hAnsi="Times New Roman" w:cs="Times New Roman"/>
                <w:sz w:val="18"/>
                <w:szCs w:val="18"/>
              </w:rPr>
              <w:t>I media e le professioni nello sport</w:t>
            </w:r>
          </w:p>
          <w:p w14:paraId="525977C1" w14:textId="77777777" w:rsidR="001D6539" w:rsidRDefault="001D6539" w:rsidP="001D6539">
            <w:pPr>
              <w:widowControl w:val="0"/>
              <w:pBdr>
                <w:top w:val="nil"/>
                <w:left w:val="nil"/>
                <w:bottom w:val="nil"/>
                <w:right w:val="nil"/>
                <w:between w:val="nil"/>
              </w:pBdr>
              <w:spacing w:after="0" w:line="288" w:lineRule="auto"/>
              <w:ind w:left="720" w:right="113"/>
              <w:rPr>
                <w:rFonts w:ascii="Times New Roman" w:eastAsia="Times New Roman" w:hAnsi="Times New Roman" w:cs="Times New Roman"/>
                <w:sz w:val="18"/>
                <w:szCs w:val="18"/>
              </w:rPr>
            </w:pPr>
          </w:p>
        </w:tc>
        <w:tc>
          <w:tcPr>
            <w:tcW w:w="3332"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4D5400B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Utilizzare il lessico essenziale dell’economia</w:t>
            </w:r>
          </w:p>
          <w:p w14:paraId="2AACC2B4"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Saper cogliere i collegamenti esistenti tra l’organizzazione aziendale, con particolare riferimento alla gestione del personale, e il successo che l’impresa può avere sul mercato</w:t>
            </w:r>
          </w:p>
          <w:p w14:paraId="40B632C8"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Riflettere sulle cause del sottosviluppo, analizzando le politiche di intervento fino a ora perseguite e individuandone ulteriori in modo autonomo</w:t>
            </w:r>
          </w:p>
          <w:p w14:paraId="28C6EFC2" w14:textId="77777777" w:rsidR="00B70876" w:rsidRDefault="00000000">
            <w:pPr>
              <w:widowControl w:val="0"/>
              <w:pBdr>
                <w:top w:val="nil"/>
                <w:left w:val="nil"/>
                <w:bottom w:val="nil"/>
                <w:right w:val="nil"/>
                <w:between w:val="nil"/>
              </w:pBdr>
              <w:spacing w:after="8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Riflettere su quali possano essere gli interventi opportuni per favorire lo sviluppo</w:t>
            </w:r>
          </w:p>
        </w:tc>
        <w:tc>
          <w:tcPr>
            <w:tcW w:w="3328"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72E8BBCB"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Comprendere l’importanza dell’attività d’impresa nel mondo </w:t>
            </w:r>
            <w:proofErr w:type="gramStart"/>
            <w:r>
              <w:rPr>
                <w:rFonts w:ascii="Times New Roman" w:eastAsia="Times New Roman" w:hAnsi="Times New Roman" w:cs="Times New Roman"/>
                <w:color w:val="000000"/>
                <w:sz w:val="18"/>
                <w:szCs w:val="18"/>
              </w:rPr>
              <w:t>socio-economico</w:t>
            </w:r>
            <w:proofErr w:type="gramEnd"/>
          </w:p>
          <w:p w14:paraId="65793E2D"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Cogliere la complessità dell’attività di organizzazione attuata dall’imprenditore</w:t>
            </w:r>
          </w:p>
          <w:p w14:paraId="77531FAF"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Prendere coscienza del fatto che lo sviluppo economico di un Paese </w:t>
            </w:r>
            <w:r>
              <w:rPr>
                <w:rFonts w:ascii="Times New Roman" w:eastAsia="Times New Roman" w:hAnsi="Times New Roman" w:cs="Times New Roman"/>
                <w:color w:val="000000"/>
                <w:sz w:val="18"/>
                <w:szCs w:val="18"/>
              </w:rPr>
              <w:br/>
              <w:t xml:space="preserve">si misura non solo in base al reddito, </w:t>
            </w:r>
            <w:r>
              <w:rPr>
                <w:rFonts w:ascii="Times New Roman" w:eastAsia="Times New Roman" w:hAnsi="Times New Roman" w:cs="Times New Roman"/>
                <w:color w:val="000000"/>
                <w:sz w:val="18"/>
                <w:szCs w:val="18"/>
              </w:rPr>
              <w:br/>
              <w:t>ma anche valutando molteplici altri fattori, sociali e culturali</w:t>
            </w:r>
          </w:p>
          <w:p w14:paraId="4AF36686" w14:textId="77777777" w:rsidR="00B70876" w:rsidRDefault="00000000">
            <w:pPr>
              <w:widowControl w:val="0"/>
              <w:pBdr>
                <w:top w:val="nil"/>
                <w:left w:val="nil"/>
                <w:bottom w:val="nil"/>
                <w:right w:val="nil"/>
                <w:between w:val="nil"/>
              </w:pBdr>
              <w:tabs>
                <w:tab w:val="left" w:pos="1701"/>
              </w:tabs>
              <w:spacing w:after="80" w:line="288" w:lineRule="auto"/>
              <w:ind w:left="170" w:right="113" w:hanging="17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r>
              <w:rPr>
                <w:rFonts w:ascii="Times New Roman" w:eastAsia="Times New Roman" w:hAnsi="Times New Roman" w:cs="Times New Roman"/>
                <w:b/>
                <w:color w:val="000000"/>
                <w:sz w:val="18"/>
                <w:szCs w:val="18"/>
              </w:rPr>
              <w:tab/>
            </w:r>
            <w:r>
              <w:rPr>
                <w:rFonts w:ascii="Times New Roman" w:eastAsia="Times New Roman" w:hAnsi="Times New Roman" w:cs="Times New Roman"/>
                <w:color w:val="000000"/>
                <w:sz w:val="18"/>
                <w:szCs w:val="18"/>
              </w:rPr>
              <w:t>Comprendere che un contributo al problema del sottosviluppo può derivare dall’unione di piccole</w:t>
            </w:r>
            <w:r>
              <w:rPr>
                <w:rFonts w:ascii="Times New Roman" w:eastAsia="Times New Roman" w:hAnsi="Times New Roman" w:cs="Times New Roman"/>
                <w:color w:val="000000"/>
                <w:sz w:val="18"/>
                <w:szCs w:val="18"/>
              </w:rPr>
              <w:br/>
              <w:t>azioni individuali</w:t>
            </w:r>
          </w:p>
        </w:tc>
        <w:tc>
          <w:tcPr>
            <w:tcW w:w="3331" w:type="dxa"/>
            <w:tcBorders>
              <w:top w:val="single" w:sz="6" w:space="0" w:color="000000"/>
              <w:left w:val="single" w:sz="6" w:space="0" w:color="000000"/>
              <w:bottom w:val="single" w:sz="6" w:space="0" w:color="000000"/>
              <w:right w:val="single" w:sz="6" w:space="0" w:color="000000"/>
            </w:tcBorders>
            <w:shd w:val="clear" w:color="auto" w:fill="auto"/>
            <w:tcMar>
              <w:top w:w="113" w:type="dxa"/>
              <w:left w:w="113" w:type="dxa"/>
              <w:bottom w:w="113" w:type="dxa"/>
              <w:right w:w="113" w:type="dxa"/>
            </w:tcMar>
          </w:tcPr>
          <w:p w14:paraId="76B0F685"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L’organizzazione e il funzionamento dell’impresa</w:t>
            </w:r>
          </w:p>
          <w:p w14:paraId="7DEE5655"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L’attività di finanziamento delle imprese</w:t>
            </w:r>
          </w:p>
          <w:p w14:paraId="3B72EB32"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gestione del personale</w:t>
            </w:r>
          </w:p>
          <w:p w14:paraId="42B5C1CB"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Il concetto di sviluppo economico</w:t>
            </w:r>
          </w:p>
          <w:p w14:paraId="51D86069" w14:textId="77777777" w:rsidR="00B70876" w:rsidRDefault="00000000">
            <w:pPr>
              <w:widowControl w:val="0"/>
              <w:pBdr>
                <w:top w:val="nil"/>
                <w:left w:val="nil"/>
                <w:bottom w:val="nil"/>
                <w:right w:val="nil"/>
                <w:between w:val="nil"/>
              </w:pBdr>
              <w:spacing w:after="80" w:line="288" w:lineRule="auto"/>
              <w:ind w:left="170" w:right="113" w:hanging="170"/>
              <w:rPr>
                <w:rFonts w:ascii="Helvetica Neue" w:eastAsia="Helvetica Neue" w:hAnsi="Helvetica Neue" w:cs="Helvetica Neue"/>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cause dei divari economici e sociali tra Paesi ricchi e Paesi poveri</w:t>
            </w:r>
          </w:p>
        </w:tc>
      </w:tr>
      <w:tr w:rsidR="00B70876" w14:paraId="64875D6F" w14:textId="77777777">
        <w:trPr>
          <w:tblHeader/>
        </w:trPr>
        <w:tc>
          <w:tcPr>
            <w:tcW w:w="3332" w:type="dxa"/>
            <w:tcBorders>
              <w:top w:val="single" w:sz="6" w:space="0" w:color="000000"/>
              <w:left w:val="single" w:sz="4" w:space="0" w:color="000000"/>
              <w:bottom w:val="single" w:sz="4" w:space="0" w:color="000000"/>
              <w:right w:val="single" w:sz="6" w:space="0" w:color="000000"/>
            </w:tcBorders>
            <w:shd w:val="clear" w:color="auto" w:fill="auto"/>
            <w:tcMar>
              <w:top w:w="113" w:type="dxa"/>
              <w:left w:w="113" w:type="dxa"/>
              <w:bottom w:w="113" w:type="dxa"/>
              <w:right w:w="113" w:type="dxa"/>
            </w:tcMar>
          </w:tcPr>
          <w:p w14:paraId="5772B3D1"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Modulo 7 – La globalizzazione</w:t>
            </w:r>
          </w:p>
          <w:p w14:paraId="666942A6" w14:textId="77777777" w:rsidR="00B70876" w:rsidRDefault="00B70876">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p>
          <w:p w14:paraId="6F2EBF75"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CONTENUTI:</w:t>
            </w:r>
          </w:p>
          <w:p w14:paraId="6F73CD95" w14:textId="77777777"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Gli scambi con l’estero</w:t>
            </w:r>
          </w:p>
          <w:p w14:paraId="48A2C47D" w14:textId="1DF4619A" w:rsidR="00B70876" w:rsidRDefault="00000000">
            <w:pPr>
              <w:widowControl w:val="0"/>
              <w:pBdr>
                <w:top w:val="nil"/>
                <w:left w:val="nil"/>
                <w:bottom w:val="nil"/>
                <w:right w:val="nil"/>
                <w:between w:val="nil"/>
              </w:pBdr>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Le nuove dimensioni dei rapporti internazionali</w:t>
            </w:r>
            <w:r w:rsidR="001D6539">
              <w:rPr>
                <w:rFonts w:ascii="Times New Roman" w:eastAsia="Times New Roman" w:hAnsi="Times New Roman" w:cs="Times New Roman"/>
                <w:color w:val="000000"/>
                <w:sz w:val="18"/>
                <w:szCs w:val="18"/>
              </w:rPr>
              <w:t xml:space="preserve">: la globalizzazione </w:t>
            </w:r>
          </w:p>
          <w:p w14:paraId="2758D6E3" w14:textId="77777777" w:rsidR="00B70876" w:rsidRDefault="00000000">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Lo sviluppo economico</w:t>
            </w:r>
          </w:p>
          <w:p w14:paraId="16389663" w14:textId="77777777" w:rsidR="00B70876" w:rsidRDefault="00B70876">
            <w:pPr>
              <w:widowControl w:val="0"/>
              <w:pBdr>
                <w:top w:val="nil"/>
                <w:left w:val="nil"/>
                <w:bottom w:val="nil"/>
                <w:right w:val="nil"/>
                <w:between w:val="nil"/>
              </w:pBdr>
              <w:tabs>
                <w:tab w:val="left" w:pos="1701"/>
              </w:tabs>
              <w:spacing w:after="80" w:line="288" w:lineRule="auto"/>
              <w:ind w:right="113"/>
              <w:rPr>
                <w:rFonts w:ascii="Times New Roman" w:eastAsia="Times New Roman" w:hAnsi="Times New Roman" w:cs="Times New Roman"/>
                <w:sz w:val="18"/>
                <w:szCs w:val="18"/>
              </w:rPr>
            </w:pPr>
          </w:p>
        </w:tc>
        <w:tc>
          <w:tcPr>
            <w:tcW w:w="3332"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13EE183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Utilizzare il lessico essenziale dell’economia</w:t>
            </w:r>
          </w:p>
          <w:p w14:paraId="30242EC1"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Valutare, al di là degli immediati vantaggi, i rischi legati all’adozione di misure protezionistiche</w:t>
            </w:r>
          </w:p>
          <w:p w14:paraId="7722791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Confrontare i vantaggi e gli svantaggi legati al mondo globalizzato</w:t>
            </w:r>
          </w:p>
        </w:tc>
        <w:tc>
          <w:tcPr>
            <w:tcW w:w="3328"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008CD63B"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Analizzare con spirito critico la politica economica degli Stati</w:t>
            </w:r>
          </w:p>
          <w:p w14:paraId="36034B9C"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 xml:space="preserve">Comprendere le funzioni della Bilancia </w:t>
            </w:r>
            <w:r>
              <w:rPr>
                <w:rFonts w:ascii="Times New Roman" w:eastAsia="Times New Roman" w:hAnsi="Times New Roman" w:cs="Times New Roman"/>
                <w:color w:val="000000"/>
                <w:sz w:val="18"/>
                <w:szCs w:val="18"/>
              </w:rPr>
              <w:br/>
              <w:t>dei pagamenti</w:t>
            </w:r>
          </w:p>
          <w:p w14:paraId="37785FA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Comprendere le novità determinate nel mondo imprenditoriale dalla globalizzazione dei mercati</w:t>
            </w:r>
          </w:p>
        </w:tc>
        <w:tc>
          <w:tcPr>
            <w:tcW w:w="3331" w:type="dxa"/>
            <w:tcBorders>
              <w:top w:val="single" w:sz="6" w:space="0" w:color="000000"/>
              <w:left w:val="single" w:sz="6" w:space="0" w:color="000000"/>
              <w:bottom w:val="single" w:sz="4" w:space="0" w:color="000000"/>
              <w:right w:val="single" w:sz="6" w:space="0" w:color="000000"/>
            </w:tcBorders>
            <w:shd w:val="clear" w:color="auto" w:fill="auto"/>
            <w:tcMar>
              <w:top w:w="113" w:type="dxa"/>
              <w:left w:w="113" w:type="dxa"/>
              <w:bottom w:w="113" w:type="dxa"/>
              <w:right w:w="113" w:type="dxa"/>
            </w:tcMar>
          </w:tcPr>
          <w:p w14:paraId="1FFAC058"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dinamiche relative ai rapporti economici internazionali</w:t>
            </w:r>
          </w:p>
          <w:p w14:paraId="71B1C3A9"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principali teorie sul commercio internazionale</w:t>
            </w:r>
          </w:p>
          <w:p w14:paraId="4BAC267A"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Le politiche commerciali</w:t>
            </w:r>
          </w:p>
          <w:p w14:paraId="264CE85E"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La struttura della Bilancia dei pagamenti</w:t>
            </w:r>
          </w:p>
          <w:p w14:paraId="6F7B3404" w14:textId="77777777" w:rsidR="00B70876" w:rsidRDefault="00000000">
            <w:pPr>
              <w:widowControl w:val="0"/>
              <w:pBdr>
                <w:top w:val="nil"/>
                <w:left w:val="nil"/>
                <w:bottom w:val="nil"/>
                <w:right w:val="nil"/>
                <w:between w:val="nil"/>
              </w:pBdr>
              <w:spacing w:after="80" w:line="288" w:lineRule="auto"/>
              <w:ind w:left="170" w:right="113" w:hanging="17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r>
              <w:rPr>
                <w:rFonts w:ascii="Times New Roman" w:eastAsia="Times New Roman" w:hAnsi="Times New Roman" w:cs="Times New Roman"/>
                <w:color w:val="000000"/>
                <w:sz w:val="18"/>
                <w:szCs w:val="18"/>
              </w:rPr>
              <w:tab/>
              <w:t>I mutamenti economici prodotti dalla globalizzazione dei mercati</w:t>
            </w:r>
          </w:p>
        </w:tc>
      </w:tr>
    </w:tbl>
    <w:p w14:paraId="38185F64" w14:textId="77777777" w:rsidR="00B70876" w:rsidRDefault="00B70876">
      <w:pPr>
        <w:widowControl w:val="0"/>
        <w:pBdr>
          <w:top w:val="nil"/>
          <w:left w:val="nil"/>
          <w:bottom w:val="nil"/>
          <w:right w:val="nil"/>
          <w:between w:val="nil"/>
        </w:pBdr>
        <w:spacing w:after="0" w:line="288" w:lineRule="auto"/>
        <w:rPr>
          <w:rFonts w:ascii="Times" w:eastAsia="Times" w:hAnsi="Times" w:cs="Times"/>
          <w:color w:val="000000"/>
          <w:sz w:val="24"/>
          <w:szCs w:val="24"/>
        </w:rPr>
      </w:pPr>
    </w:p>
    <w:p w14:paraId="1A1040AB" w14:textId="77777777" w:rsidR="00B70876" w:rsidRDefault="00B70876">
      <w:pPr>
        <w:jc w:val="both"/>
      </w:pPr>
    </w:p>
    <w:p w14:paraId="7C8DA294" w14:textId="77777777" w:rsidR="00B70876" w:rsidRDefault="00B70876">
      <w:pPr>
        <w:jc w:val="both"/>
      </w:pPr>
    </w:p>
    <w:p w14:paraId="1BDA1388" w14:textId="77777777" w:rsidR="00B70876" w:rsidRDefault="00B70876">
      <w:pPr>
        <w:jc w:val="both"/>
      </w:pPr>
    </w:p>
    <w:sectPr w:rsidR="00B70876">
      <w:pgSz w:w="16850" w:h="11900" w:orient="landscape"/>
      <w:pgMar w:top="1134" w:right="1417" w:bottom="1134" w:left="1134"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Roman">
    <w:panose1 w:val="00000000000000000000"/>
    <w:charset w:val="00"/>
    <w:family w:val="roman"/>
    <w:notTrueType/>
    <w:pitch w:val="default"/>
  </w:font>
  <w:font w:name="AkzidenzGroteskBE-Bold">
    <w:altName w:val="Calibri"/>
    <w:charset w:val="00"/>
    <w:family w:val="auto"/>
    <w:pitch w:val="default"/>
  </w:font>
  <w:font w:name="HelveticaNeueLTStd-BdCn">
    <w:panose1 w:val="00000000000000000000"/>
    <w:charset w:val="00"/>
    <w:family w:val="roman"/>
    <w:notTrueType/>
    <w:pitch w:val="default"/>
  </w:font>
  <w:font w:name="HelveticaNeueLTStd-LtCn">
    <w:panose1 w:val="00000000000000000000"/>
    <w:charset w:val="00"/>
    <w:family w:val="roman"/>
    <w:notTrueType/>
    <w:pitch w:val="default"/>
  </w:font>
  <w:font w:name="HelveticaNeueLTStd-UltLtC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 w:name="Times">
    <w:panose1 w:val="020206030504050203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25230"/>
    <w:multiLevelType w:val="multilevel"/>
    <w:tmpl w:val="610095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3E3618A"/>
    <w:multiLevelType w:val="multilevel"/>
    <w:tmpl w:val="76CCD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F7C421D"/>
    <w:multiLevelType w:val="multilevel"/>
    <w:tmpl w:val="1954F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FD857FD"/>
    <w:multiLevelType w:val="multilevel"/>
    <w:tmpl w:val="79287C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D6F2E6E"/>
    <w:multiLevelType w:val="multilevel"/>
    <w:tmpl w:val="00983C92"/>
    <w:lvl w:ilvl="0">
      <w:numFmt w:val="bullet"/>
      <w:lvlText w:val="●"/>
      <w:lvlJc w:val="left"/>
      <w:pPr>
        <w:ind w:left="834" w:hanging="360"/>
      </w:pPr>
      <w:rPr>
        <w:rFonts w:ascii="Noto Sans Symbols" w:eastAsia="Noto Sans Symbols" w:hAnsi="Noto Sans Symbols" w:cs="Noto Sans Symbols"/>
        <w:b w:val="0"/>
        <w:i w:val="0"/>
        <w:sz w:val="24"/>
        <w:szCs w:val="24"/>
      </w:rPr>
    </w:lvl>
    <w:lvl w:ilvl="1">
      <w:numFmt w:val="bullet"/>
      <w:lvlText w:val="•"/>
      <w:lvlJc w:val="left"/>
      <w:pPr>
        <w:ind w:left="1823" w:hanging="360"/>
      </w:pPr>
    </w:lvl>
    <w:lvl w:ilvl="2">
      <w:numFmt w:val="bullet"/>
      <w:lvlText w:val="•"/>
      <w:lvlJc w:val="left"/>
      <w:pPr>
        <w:ind w:left="2807" w:hanging="361"/>
      </w:pPr>
    </w:lvl>
    <w:lvl w:ilvl="3">
      <w:numFmt w:val="bullet"/>
      <w:lvlText w:val="•"/>
      <w:lvlJc w:val="left"/>
      <w:pPr>
        <w:ind w:left="3791" w:hanging="361"/>
      </w:pPr>
    </w:lvl>
    <w:lvl w:ilvl="4">
      <w:numFmt w:val="bullet"/>
      <w:lvlText w:val="•"/>
      <w:lvlJc w:val="left"/>
      <w:pPr>
        <w:ind w:left="4775" w:hanging="361"/>
      </w:pPr>
    </w:lvl>
    <w:lvl w:ilvl="5">
      <w:numFmt w:val="bullet"/>
      <w:lvlText w:val="•"/>
      <w:lvlJc w:val="left"/>
      <w:pPr>
        <w:ind w:left="5759" w:hanging="361"/>
      </w:pPr>
    </w:lvl>
    <w:lvl w:ilvl="6">
      <w:numFmt w:val="bullet"/>
      <w:lvlText w:val="•"/>
      <w:lvlJc w:val="left"/>
      <w:pPr>
        <w:ind w:left="6743" w:hanging="361"/>
      </w:pPr>
    </w:lvl>
    <w:lvl w:ilvl="7">
      <w:numFmt w:val="bullet"/>
      <w:lvlText w:val="•"/>
      <w:lvlJc w:val="left"/>
      <w:pPr>
        <w:ind w:left="7727" w:hanging="361"/>
      </w:pPr>
    </w:lvl>
    <w:lvl w:ilvl="8">
      <w:numFmt w:val="bullet"/>
      <w:lvlText w:val="•"/>
      <w:lvlJc w:val="left"/>
      <w:pPr>
        <w:ind w:left="8711" w:hanging="361"/>
      </w:pPr>
    </w:lvl>
  </w:abstractNum>
  <w:abstractNum w:abstractNumId="5" w15:restartNumberingAfterBreak="0">
    <w:nsid w:val="78FC2C01"/>
    <w:multiLevelType w:val="multilevel"/>
    <w:tmpl w:val="A1C0F0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18377351">
    <w:abstractNumId w:val="1"/>
  </w:num>
  <w:num w:numId="2" w16cid:durableId="1582980440">
    <w:abstractNumId w:val="0"/>
  </w:num>
  <w:num w:numId="3" w16cid:durableId="2055152524">
    <w:abstractNumId w:val="3"/>
  </w:num>
  <w:num w:numId="4" w16cid:durableId="139201510">
    <w:abstractNumId w:val="4"/>
  </w:num>
  <w:num w:numId="5" w16cid:durableId="154037266">
    <w:abstractNumId w:val="2"/>
  </w:num>
  <w:num w:numId="6" w16cid:durableId="3650634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876"/>
    <w:rsid w:val="001D6539"/>
    <w:rsid w:val="00497ED3"/>
    <w:rsid w:val="005271AF"/>
    <w:rsid w:val="007D18B0"/>
    <w:rsid w:val="00B70876"/>
    <w:rsid w:val="00D66C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C825B"/>
  <w15:docId w15:val="{DD6EEAC2-DE1F-4A0F-99EB-2FD376F99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Corpotesto">
    <w:name w:val="Body Text"/>
    <w:basedOn w:val="Normale"/>
    <w:link w:val="CorpotestoCarattere"/>
    <w:uiPriority w:val="1"/>
    <w:qFormat/>
    <w:rsid w:val="00166A33"/>
    <w:pPr>
      <w:widowControl w:val="0"/>
      <w:autoSpaceDE w:val="0"/>
      <w:autoSpaceDN w:val="0"/>
      <w:spacing w:after="0" w:line="240" w:lineRule="auto"/>
    </w:pPr>
    <w:rPr>
      <w:rFonts w:ascii="Garamond" w:eastAsia="Garamond" w:hAnsi="Garamond" w:cs="Garamond"/>
      <w:sz w:val="24"/>
      <w:szCs w:val="24"/>
    </w:rPr>
  </w:style>
  <w:style w:type="character" w:customStyle="1" w:styleId="CorpotestoCarattere">
    <w:name w:val="Corpo testo Carattere"/>
    <w:basedOn w:val="Carpredefinitoparagrafo"/>
    <w:link w:val="Corpotesto"/>
    <w:uiPriority w:val="1"/>
    <w:rsid w:val="00166A33"/>
    <w:rPr>
      <w:rFonts w:ascii="Garamond" w:eastAsia="Garamond" w:hAnsi="Garamond" w:cs="Garamond"/>
      <w:sz w:val="24"/>
      <w:szCs w:val="24"/>
    </w:rPr>
  </w:style>
  <w:style w:type="paragraph" w:styleId="Paragrafoelenco">
    <w:name w:val="List Paragraph"/>
    <w:basedOn w:val="Normale"/>
    <w:uiPriority w:val="1"/>
    <w:qFormat/>
    <w:rsid w:val="00166A33"/>
    <w:pPr>
      <w:widowControl w:val="0"/>
      <w:autoSpaceDE w:val="0"/>
      <w:autoSpaceDN w:val="0"/>
      <w:spacing w:after="0" w:line="404" w:lineRule="exact"/>
      <w:ind w:left="834" w:hanging="361"/>
    </w:pPr>
    <w:rPr>
      <w:rFonts w:ascii="Garamond" w:eastAsia="Garamond" w:hAnsi="Garamond" w:cs="Garamond"/>
    </w:rPr>
  </w:style>
  <w:style w:type="table" w:styleId="Grigliatabella">
    <w:name w:val="Table Grid"/>
    <w:basedOn w:val="Tabellanormale"/>
    <w:uiPriority w:val="39"/>
    <w:rsid w:val="00464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ostileparagrafo">
    <w:name w:val="[Nessuno stile paragrafo]"/>
    <w:rsid w:val="00464BBE"/>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Paragrafobase">
    <w:name w:val="[Paragrafo base]"/>
    <w:basedOn w:val="Nessunostileparagrafo"/>
    <w:uiPriority w:val="99"/>
    <w:rsid w:val="00464BBE"/>
  </w:style>
  <w:style w:type="paragraph" w:customStyle="1" w:styleId="tabtestatineneg02tabellaprogrammazione">
    <w:name w:val="tab_testatine neg (02_tabella_programmazione)"/>
    <w:basedOn w:val="Nessunostileparagrafo"/>
    <w:uiPriority w:val="99"/>
    <w:rsid w:val="00464BBE"/>
    <w:pPr>
      <w:suppressAutoHyphens/>
      <w:spacing w:line="200" w:lineRule="atLeast"/>
      <w:ind w:left="57"/>
      <w:jc w:val="center"/>
    </w:pPr>
    <w:rPr>
      <w:rFonts w:ascii="AkzidenzGroteskBE-Bold" w:hAnsi="AkzidenzGroteskBE-Bold" w:cs="AkzidenzGroteskBE-Bold"/>
      <w:b/>
      <w:bCs/>
      <w:caps/>
      <w:color w:val="FFFFFF"/>
      <w:sz w:val="18"/>
      <w:szCs w:val="18"/>
    </w:rPr>
  </w:style>
  <w:style w:type="paragraph" w:customStyle="1" w:styleId="tabtitoletti02tabellaprogrammazione">
    <w:name w:val="tab_titoletti (02_tabella_programmazione)"/>
    <w:basedOn w:val="Nessunostileparagrafo"/>
    <w:uiPriority w:val="99"/>
    <w:rsid w:val="00464BBE"/>
    <w:pPr>
      <w:tabs>
        <w:tab w:val="left" w:pos="1701"/>
      </w:tabs>
      <w:suppressAutoHyphens/>
      <w:spacing w:line="200" w:lineRule="atLeast"/>
      <w:ind w:left="57"/>
    </w:pPr>
    <w:rPr>
      <w:rFonts w:ascii="HelveticaNeueLTStd-BdCn" w:hAnsi="HelveticaNeueLTStd-BdCn" w:cs="HelveticaNeueLTStd-BdCn"/>
      <w:b/>
      <w:bCs/>
      <w:sz w:val="18"/>
      <w:szCs w:val="18"/>
    </w:rPr>
  </w:style>
  <w:style w:type="paragraph" w:customStyle="1" w:styleId="tabtestatine02tabellaprogrammazione">
    <w:name w:val="tab_testatine (02_tabella_programmazione)"/>
    <w:basedOn w:val="Nessunostileparagrafo"/>
    <w:uiPriority w:val="99"/>
    <w:rsid w:val="00464BBE"/>
    <w:pPr>
      <w:tabs>
        <w:tab w:val="left" w:pos="1701"/>
      </w:tabs>
      <w:suppressAutoHyphens/>
      <w:spacing w:line="200" w:lineRule="atLeast"/>
      <w:ind w:left="57"/>
    </w:pPr>
    <w:rPr>
      <w:rFonts w:ascii="AkzidenzGroteskBE-Bold" w:hAnsi="AkzidenzGroteskBE-Bold" w:cs="AkzidenzGroteskBE-Bold"/>
      <w:b/>
      <w:bCs/>
      <w:sz w:val="18"/>
      <w:szCs w:val="18"/>
    </w:rPr>
  </w:style>
  <w:style w:type="paragraph" w:customStyle="1" w:styleId="tabunit02tabellaprogrammazione">
    <w:name w:val="tab_unità (02_tabella_programmazione)"/>
    <w:basedOn w:val="Nessunostileparagrafo"/>
    <w:uiPriority w:val="99"/>
    <w:rsid w:val="00464BBE"/>
    <w:pPr>
      <w:suppressAutoHyphens/>
      <w:spacing w:before="200" w:line="200" w:lineRule="atLeast"/>
      <w:ind w:left="57" w:right="57"/>
    </w:pPr>
    <w:rPr>
      <w:rFonts w:ascii="HelveticaNeueLTStd-LtCn" w:hAnsi="HelveticaNeueLTStd-LtCn" w:cs="HelveticaNeueLTStd-LtCn"/>
      <w:sz w:val="18"/>
      <w:szCs w:val="18"/>
    </w:rPr>
  </w:style>
  <w:style w:type="paragraph" w:customStyle="1" w:styleId="tabpuntoelencotesto02tabellaprogrammazione">
    <w:name w:val="tab_punto_elenco_testo (02_tabella_programmazione)"/>
    <w:basedOn w:val="Nessunostileparagrafo"/>
    <w:uiPriority w:val="99"/>
    <w:rsid w:val="00464BBE"/>
    <w:pPr>
      <w:suppressAutoHyphens/>
      <w:spacing w:after="57" w:line="200" w:lineRule="atLeast"/>
      <w:ind w:left="227" w:right="57" w:hanging="170"/>
    </w:pPr>
    <w:rPr>
      <w:rFonts w:ascii="HelveticaNeueLTStd-LtCn" w:hAnsi="HelveticaNeueLTStd-LtCn" w:cs="HelveticaNeueLTStd-LtCn"/>
      <w:sz w:val="18"/>
      <w:szCs w:val="18"/>
    </w:rPr>
  </w:style>
  <w:style w:type="paragraph" w:customStyle="1" w:styleId="tabelencosenzapunto02tabellaprogrammazione">
    <w:name w:val="tab_elenco_senza_punto (02_tabella_programmazione)"/>
    <w:basedOn w:val="Nessunostileparagrafo"/>
    <w:uiPriority w:val="99"/>
    <w:rsid w:val="00464BBE"/>
    <w:pPr>
      <w:suppressAutoHyphens/>
      <w:spacing w:after="57" w:line="200" w:lineRule="atLeast"/>
      <w:ind w:left="170" w:hanging="113"/>
    </w:pPr>
    <w:rPr>
      <w:rFonts w:ascii="HelveticaNeueLTStd-LtCn" w:hAnsi="HelveticaNeueLTStd-LtCn" w:cs="HelveticaNeueLTStd-LtCn"/>
      <w:sz w:val="18"/>
      <w:szCs w:val="18"/>
    </w:rPr>
  </w:style>
  <w:style w:type="character" w:customStyle="1" w:styleId="01glifoelencopallino02tabellaprogrammazione">
    <w:name w:val="01_glifo_elenco_pallino (02_tabella_programmazione)"/>
    <w:uiPriority w:val="99"/>
    <w:rsid w:val="00464BBE"/>
    <w:rPr>
      <w:rFonts w:ascii="HelveticaNeueLTStd-UltLtCn" w:hAnsi="HelveticaNeueLTStd-UltLtCn" w:cs="HelveticaNeueLTStd-UltLtCn"/>
      <w:color w:val="000000"/>
      <w:w w:val="100"/>
      <w:position w:val="0"/>
      <w:sz w:val="18"/>
      <w:szCs w:val="18"/>
      <w:u w:val="none"/>
    </w:rPr>
  </w:style>
  <w:style w:type="character" w:customStyle="1" w:styleId="tabtestocvo02tabellaprogrammazione">
    <w:name w:val="tab_testo_cvo (02_tabella_programmazione)"/>
    <w:uiPriority w:val="99"/>
    <w:rsid w:val="00464BBE"/>
    <w:rPr>
      <w:i/>
      <w:iCs/>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udis01800d@istruzione.it" TargetMode="External"/><Relationship Id="rId3" Type="http://schemas.openxmlformats.org/officeDocument/2006/relationships/styles" Target="styles.xml"/><Relationship Id="rId7" Type="http://schemas.openxmlformats.org/officeDocument/2006/relationships/hyperlink" Target="http://www.isismagrinimarchetti.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dis01800d@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LiQV3l3E42Z+BJ8LGHvAHVfgpg==">AMUW2mWYSHImleSzV9p9Tnv6I5WMrkrRk9zAV0S5+cwqqEUOSUdNo+c2K1pdaESyxdgJjgSy77uoYz+xMJTgqvbBTQhU2Jk9j2t4Hy5pJRHH9nbfNyk9tdQ=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2048</Words>
  <Characters>11677</Characters>
  <Application>Microsoft Office Word</Application>
  <DocSecurity>0</DocSecurity>
  <Lines>97</Lines>
  <Paragraphs>27</Paragraphs>
  <ScaleCrop>false</ScaleCrop>
  <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emanuela buttazzoni</dc:creator>
  <cp:lastModifiedBy>Emanuela Buttazzoni</cp:lastModifiedBy>
  <cp:revision>3</cp:revision>
  <dcterms:created xsi:type="dcterms:W3CDTF">2024-08-20T08:48:00Z</dcterms:created>
  <dcterms:modified xsi:type="dcterms:W3CDTF">2024-08-20T10:19:00Z</dcterms:modified>
</cp:coreProperties>
</file>